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B8AAC" w14:textId="77777777" w:rsidR="00C357C1" w:rsidRDefault="00C357C1" w:rsidP="00D472FA">
      <w:pPr>
        <w:widowControl w:val="0"/>
        <w:pBdr>
          <w:top w:val="nil"/>
          <w:left w:val="nil"/>
          <w:bottom w:val="nil"/>
          <w:right w:val="nil"/>
          <w:between w:val="nil"/>
        </w:pBdr>
        <w:spacing w:after="0"/>
        <w:ind w:left="0" w:hanging="2"/>
        <w:rPr>
          <w:rFonts w:ascii="Times New Roman" w:eastAsia="Times New Roman" w:hAnsi="Times New Roman" w:cs="Times New Roman"/>
          <w:color w:val="000000"/>
        </w:rPr>
      </w:pPr>
    </w:p>
    <w:tbl>
      <w:tblPr>
        <w:tblStyle w:val="a1"/>
        <w:tblW w:w="8890" w:type="dxa"/>
        <w:tblInd w:w="521" w:type="dxa"/>
        <w:tblLayout w:type="fixed"/>
        <w:tblLook w:val="0000" w:firstRow="0" w:lastRow="0" w:firstColumn="0" w:lastColumn="0" w:noHBand="0" w:noVBand="0"/>
      </w:tblPr>
      <w:tblGrid>
        <w:gridCol w:w="2401"/>
        <w:gridCol w:w="6489"/>
      </w:tblGrid>
      <w:tr w:rsidR="00C357C1" w14:paraId="5BAD94BA" w14:textId="77777777" w:rsidTr="00D472FA">
        <w:trPr>
          <w:trHeight w:val="2571"/>
        </w:trPr>
        <w:tc>
          <w:tcPr>
            <w:tcW w:w="2401" w:type="dxa"/>
          </w:tcPr>
          <w:p w14:paraId="7F03D61A" w14:textId="2978FC76" w:rsidR="00C357C1" w:rsidRDefault="00C97953">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bookmarkStart w:id="0" w:name="_heading=h.gjdgxs" w:colFirst="0" w:colLast="0"/>
            <w:bookmarkEnd w:id="0"/>
            <w:r>
              <w:rPr>
                <w:noProof/>
              </w:rPr>
              <w:drawing>
                <wp:anchor distT="0" distB="0" distL="0" distR="0" simplePos="0" relativeHeight="251658240" behindDoc="0" locked="0" layoutInCell="1" hidden="0" allowOverlap="1" wp14:anchorId="567E4F8A" wp14:editId="46BE34C1">
                  <wp:simplePos x="0" y="0"/>
                  <wp:positionH relativeFrom="column">
                    <wp:posOffset>241300</wp:posOffset>
                  </wp:positionH>
                  <wp:positionV relativeFrom="paragraph">
                    <wp:posOffset>-28571</wp:posOffset>
                  </wp:positionV>
                  <wp:extent cx="973455" cy="1138555"/>
                  <wp:effectExtent l="0" t="0" r="0" b="0"/>
                  <wp:wrapTopAndBottom distT="0" distB="0"/>
                  <wp:docPr id="9" name="Attēls 9"/>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973455" cy="1138555"/>
                          </a:xfrm>
                          <a:prstGeom prst="rect">
                            <a:avLst/>
                          </a:prstGeom>
                          <a:ln/>
                        </pic:spPr>
                      </pic:pic>
                    </a:graphicData>
                  </a:graphic>
                </wp:anchor>
              </w:drawing>
            </w:r>
          </w:p>
        </w:tc>
        <w:tc>
          <w:tcPr>
            <w:tcW w:w="6489" w:type="dxa"/>
          </w:tcPr>
          <w:p w14:paraId="513999AE" w14:textId="77777777" w:rsidR="00C357C1" w:rsidRDefault="00C97953" w:rsidP="00D472FA">
            <w:pPr>
              <w:pBdr>
                <w:top w:val="nil"/>
                <w:left w:val="nil"/>
                <w:bottom w:val="nil"/>
                <w:right w:val="nil"/>
                <w:between w:val="nil"/>
              </w:pBdr>
              <w:shd w:val="clear" w:color="auto" w:fill="FFFFFF"/>
              <w:tabs>
                <w:tab w:val="center" w:pos="4153"/>
                <w:tab w:val="right" w:pos="8306"/>
                <w:tab w:val="left" w:pos="720"/>
              </w:tabs>
              <w:ind w:left="2" w:right="19" w:hanging="4"/>
              <w:jc w:val="center"/>
              <w:rPr>
                <w:rFonts w:ascii="Times New Roman" w:eastAsia="Times New Roman" w:hAnsi="Times New Roman" w:cs="Times New Roman"/>
                <w:b/>
                <w:smallCaps/>
                <w:color w:val="000000"/>
                <w:sz w:val="36"/>
                <w:szCs w:val="36"/>
              </w:rPr>
            </w:pPr>
            <w:r>
              <w:rPr>
                <w:rFonts w:ascii="Times New Roman" w:eastAsia="Times New Roman" w:hAnsi="Times New Roman" w:cs="Times New Roman"/>
                <w:b/>
                <w:smallCaps/>
                <w:color w:val="000000"/>
                <w:sz w:val="36"/>
                <w:szCs w:val="36"/>
              </w:rPr>
              <w:t>RĒZEKNES NOVADA PAŠVALDĪBA</w:t>
            </w:r>
          </w:p>
          <w:p w14:paraId="29C99A54" w14:textId="77777777" w:rsidR="00C357C1" w:rsidRDefault="00C97953" w:rsidP="00D472FA">
            <w:pPr>
              <w:pBdr>
                <w:top w:val="nil"/>
                <w:left w:val="nil"/>
                <w:bottom w:val="nil"/>
                <w:right w:val="nil"/>
                <w:between w:val="nil"/>
              </w:pBdr>
              <w:shd w:val="clear" w:color="auto" w:fill="FFFFFF"/>
              <w:tabs>
                <w:tab w:val="center" w:pos="4153"/>
                <w:tab w:val="right" w:pos="8306"/>
                <w:tab w:val="left" w:pos="720"/>
              </w:tabs>
              <w:spacing w:after="0" w:line="240" w:lineRule="auto"/>
              <w:ind w:left="0" w:hanging="2"/>
              <w:jc w:val="center"/>
              <w:rPr>
                <w:rFonts w:ascii="Times New Roman" w:eastAsia="Times New Roman" w:hAnsi="Times New Roman" w:cs="Times New Roman"/>
                <w:smallCaps/>
                <w:color w:val="000000"/>
                <w:sz w:val="18"/>
                <w:szCs w:val="18"/>
              </w:rPr>
            </w:pPr>
            <w:r>
              <w:rPr>
                <w:rFonts w:ascii="Times New Roman" w:eastAsia="Times New Roman" w:hAnsi="Times New Roman" w:cs="Times New Roman"/>
                <w:smallCaps/>
                <w:color w:val="000000"/>
                <w:sz w:val="18"/>
                <w:szCs w:val="18"/>
              </w:rPr>
              <w:t>REĢ.NR.90009112679</w:t>
            </w:r>
          </w:p>
          <w:p w14:paraId="3632547E" w14:textId="77777777" w:rsidR="00C357C1" w:rsidRDefault="00C97953" w:rsidP="00D472FA">
            <w:pPr>
              <w:pBdr>
                <w:top w:val="nil"/>
                <w:left w:val="nil"/>
                <w:bottom w:val="nil"/>
                <w:right w:val="nil"/>
                <w:between w:val="nil"/>
              </w:pBdr>
              <w:shd w:val="clear" w:color="auto" w:fill="FFFFFF"/>
              <w:tabs>
                <w:tab w:val="center" w:pos="4153"/>
                <w:tab w:val="right" w:pos="8306"/>
                <w:tab w:val="left" w:pos="720"/>
              </w:tabs>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Atbrīvošanas aleja 95A, Rēzekne, LV – 4601,</w:t>
            </w:r>
          </w:p>
          <w:p w14:paraId="43E046A8" w14:textId="77777777" w:rsidR="00C357C1" w:rsidRDefault="00C97953" w:rsidP="00D472FA">
            <w:pPr>
              <w:pBdr>
                <w:top w:val="nil"/>
                <w:left w:val="nil"/>
                <w:bottom w:val="nil"/>
                <w:right w:val="nil"/>
                <w:between w:val="nil"/>
              </w:pBdr>
              <w:shd w:val="clear" w:color="auto" w:fill="FFFFFF"/>
              <w:tabs>
                <w:tab w:val="center" w:pos="4153"/>
                <w:tab w:val="right" w:pos="8306"/>
                <w:tab w:val="left" w:pos="720"/>
              </w:tabs>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Tel. 646 22238; 646 22231, Fax. 646 25935,</w:t>
            </w:r>
          </w:p>
          <w:p w14:paraId="0E036F8E" w14:textId="5A9395CE" w:rsidR="00C357C1" w:rsidRDefault="00C97953" w:rsidP="00D472FA">
            <w:pPr>
              <w:pBdr>
                <w:top w:val="nil"/>
                <w:left w:val="nil"/>
                <w:bottom w:val="nil"/>
                <w:right w:val="nil"/>
                <w:between w:val="nil"/>
              </w:pBdr>
              <w:shd w:val="clear" w:color="auto" w:fill="FFFFFF"/>
              <w:tabs>
                <w:tab w:val="center" w:pos="4153"/>
                <w:tab w:val="right" w:pos="8306"/>
                <w:tab w:val="left" w:pos="720"/>
              </w:tabs>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e–pasts: </w:t>
            </w:r>
            <w:hyperlink r:id="rId10">
              <w:r>
                <w:rPr>
                  <w:rFonts w:ascii="Times New Roman" w:eastAsia="Times New Roman" w:hAnsi="Times New Roman" w:cs="Times New Roman"/>
                  <w:color w:val="0000FF"/>
                  <w:sz w:val="18"/>
                  <w:szCs w:val="18"/>
                  <w:u w:val="single"/>
                </w:rPr>
                <w:t>info@rezeknesnovads.lv</w:t>
              </w:r>
            </w:hyperlink>
          </w:p>
          <w:p w14:paraId="34DB49DE" w14:textId="6AE6D40E" w:rsidR="00C357C1" w:rsidRDefault="00C97953" w:rsidP="00D472FA">
            <w:pPr>
              <w:pBdr>
                <w:top w:val="nil"/>
                <w:left w:val="nil"/>
                <w:bottom w:val="nil"/>
                <w:right w:val="nil"/>
                <w:between w:val="nil"/>
              </w:pBdr>
              <w:shd w:val="clear" w:color="auto" w:fill="FFFFFF"/>
              <w:tabs>
                <w:tab w:val="center" w:pos="4153"/>
                <w:tab w:val="right" w:pos="8306"/>
                <w:tab w:val="left" w:pos="720"/>
              </w:tabs>
              <w:spacing w:before="120"/>
              <w:ind w:left="0" w:right="19" w:hanging="2"/>
              <w:jc w:val="center"/>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 xml:space="preserve">Informācija internetā:  </w:t>
            </w:r>
            <w:hyperlink r:id="rId11">
              <w:r>
                <w:rPr>
                  <w:rFonts w:ascii="Times New Roman" w:eastAsia="Times New Roman" w:hAnsi="Times New Roman" w:cs="Times New Roman"/>
                  <w:color w:val="0000FF"/>
                  <w:sz w:val="18"/>
                  <w:szCs w:val="18"/>
                  <w:u w:val="single"/>
                </w:rPr>
                <w:t>http://www.rezeknesnovads.lv</w:t>
              </w:r>
            </w:hyperlink>
          </w:p>
        </w:tc>
      </w:tr>
    </w:tbl>
    <w:p w14:paraId="2D2F7D90" w14:textId="3461FD38" w:rsidR="00C357C1" w:rsidRDefault="00C97953">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                                                                            </w:t>
      </w:r>
      <w:r>
        <w:rPr>
          <w:noProof/>
        </w:rPr>
        <mc:AlternateContent>
          <mc:Choice Requires="wpg">
            <w:drawing>
              <wp:anchor distT="0" distB="0" distL="114300" distR="114300" simplePos="0" relativeHeight="251659264" behindDoc="0" locked="0" layoutInCell="1" hidden="0" allowOverlap="1" wp14:anchorId="09FA9EDE" wp14:editId="6EAD5A73">
                <wp:simplePos x="0" y="0"/>
                <wp:positionH relativeFrom="column">
                  <wp:posOffset>76201</wp:posOffset>
                </wp:positionH>
                <wp:positionV relativeFrom="paragraph">
                  <wp:posOffset>12700</wp:posOffset>
                </wp:positionV>
                <wp:extent cx="5969635" cy="31750"/>
                <wp:effectExtent l="0" t="0" r="0" b="0"/>
                <wp:wrapNone/>
                <wp:docPr id="7" name="Taisns bultveida savienotājs 7"/>
                <wp:cNvGraphicFramePr/>
                <a:graphic xmlns:a="http://schemas.openxmlformats.org/drawingml/2006/main">
                  <a:graphicData uri="http://schemas.microsoft.com/office/word/2010/wordprocessingShape">
                    <wps:wsp>
                      <wps:cNvCnPr/>
                      <wps:spPr>
                        <a:xfrm>
                          <a:off x="2370708" y="3780000"/>
                          <a:ext cx="595058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12700</wp:posOffset>
                </wp:positionV>
                <wp:extent cx="5969635" cy="31750"/>
                <wp:effectExtent b="0" l="0" r="0" t="0"/>
                <wp:wrapNone/>
                <wp:docPr id="7"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5969635" cy="31750"/>
                        </a:xfrm>
                        <a:prstGeom prst="rect"/>
                        <a:ln/>
                      </pic:spPr>
                    </pic:pic>
                  </a:graphicData>
                </a:graphic>
              </wp:anchor>
            </w:drawing>
          </mc:Fallback>
        </mc:AlternateContent>
      </w:r>
    </w:p>
    <w:p w14:paraId="11F0B690" w14:textId="77777777" w:rsidR="00C357C1" w:rsidRDefault="00C357C1">
      <w:pPr>
        <w:spacing w:after="0"/>
        <w:ind w:left="0" w:hanging="2"/>
        <w:jc w:val="center"/>
        <w:rPr>
          <w:rFonts w:ascii="Times New Roman" w:eastAsia="Times New Roman" w:hAnsi="Times New Roman" w:cs="Times New Roman"/>
          <w:sz w:val="24"/>
          <w:szCs w:val="24"/>
          <w:highlight w:val="yellow"/>
        </w:rPr>
      </w:pPr>
    </w:p>
    <w:p w14:paraId="5A985D18" w14:textId="77777777" w:rsidR="00C357C1" w:rsidRDefault="00C97953">
      <w:pPr>
        <w:ind w:left="2" w:hanging="4"/>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NOLIKUMS</w:t>
      </w:r>
    </w:p>
    <w:p w14:paraId="2238570F" w14:textId="77777777" w:rsidR="00C357C1" w:rsidRDefault="00C97953">
      <w:pPr>
        <w:spacing w:after="0" w:line="240" w:lineRule="auto"/>
        <w:ind w:left="1" w:hanging="3"/>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Par Rēzeknes novada pašvaldības </w:t>
      </w:r>
    </w:p>
    <w:p w14:paraId="66709F28" w14:textId="77777777" w:rsidR="00C357C1" w:rsidRDefault="00C97953">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finansējuma piešķiršanas kārtību projektu konkursa</w:t>
      </w:r>
    </w:p>
    <w:p w14:paraId="0996B107" w14:textId="77777777" w:rsidR="00C357C1" w:rsidRDefault="00C97953">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„Atbalsts uzņēmumu radīšanai un attīstībai Rēzeknes novadā” </w:t>
      </w:r>
    </w:p>
    <w:p w14:paraId="751217CE" w14:textId="77777777" w:rsidR="00C357C1" w:rsidRDefault="00C97953">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ietvaros</w:t>
      </w:r>
    </w:p>
    <w:p w14:paraId="522837DD" w14:textId="77777777" w:rsidR="00C357C1" w:rsidRDefault="00C357C1">
      <w:pPr>
        <w:spacing w:after="0" w:line="240" w:lineRule="auto"/>
        <w:ind w:left="1" w:hanging="3"/>
        <w:jc w:val="center"/>
        <w:rPr>
          <w:rFonts w:ascii="Times New Roman" w:eastAsia="Times New Roman" w:hAnsi="Times New Roman" w:cs="Times New Roman"/>
          <w:sz w:val="28"/>
          <w:szCs w:val="28"/>
        </w:rPr>
      </w:pPr>
    </w:p>
    <w:p w14:paraId="6BF40734" w14:textId="77777777" w:rsidR="00C357C1" w:rsidRDefault="00C97953" w:rsidP="00AA780F">
      <w:pPr>
        <w:numPr>
          <w:ilvl w:val="0"/>
          <w:numId w:val="1"/>
        </w:numPr>
        <w:pBdr>
          <w:top w:val="nil"/>
          <w:left w:val="nil"/>
          <w:bottom w:val="nil"/>
          <w:right w:val="nil"/>
          <w:between w:val="nil"/>
        </w:pBdr>
        <w:spacing w:after="0"/>
        <w:ind w:left="-2" w:firstLineChars="176" w:firstLine="42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VISPĀRĪGIE NOTEIKUMI</w:t>
      </w:r>
    </w:p>
    <w:p w14:paraId="0BC541A4" w14:textId="77777777" w:rsidR="00C357C1" w:rsidRDefault="00C357C1">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2973EBD9" w14:textId="77777777" w:rsidR="00C357C1" w:rsidRDefault="00C97953" w:rsidP="00D472FA">
      <w:pPr>
        <w:numPr>
          <w:ilvl w:val="1"/>
          <w:numId w:val="1"/>
        </w:numPr>
        <w:pBdr>
          <w:top w:val="nil"/>
          <w:left w:val="nil"/>
          <w:bottom w:val="nil"/>
          <w:right w:val="nil"/>
          <w:between w:val="nil"/>
        </w:pBdr>
        <w:tabs>
          <w:tab w:val="left" w:pos="851"/>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sz w:val="24"/>
          <w:szCs w:val="24"/>
        </w:rPr>
        <w:t>Šis nolikums nosaka kārtību, kādā Rēzeknes novada pašvaldība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piešķir finansējumu fizisko un juridisko personu projektiem uzņēmējdarbības uzsākšanai un attīstīšanai.</w:t>
      </w:r>
    </w:p>
    <w:p w14:paraId="5F2BB14E" w14:textId="77777777" w:rsidR="00C357C1" w:rsidRDefault="00C97953" w:rsidP="00D472FA">
      <w:pPr>
        <w:numPr>
          <w:ilvl w:val="1"/>
          <w:numId w:val="1"/>
        </w:numPr>
        <w:pBdr>
          <w:top w:val="nil"/>
          <w:left w:val="nil"/>
          <w:bottom w:val="nil"/>
          <w:right w:val="nil"/>
          <w:between w:val="nil"/>
        </w:pBdr>
        <w:spacing w:after="0"/>
        <w:ind w:left="0" w:hanging="2"/>
        <w:jc w:val="both"/>
        <w:rPr>
          <w:rFonts w:ascii="Times New Roman" w:eastAsia="Times New Roman" w:hAnsi="Times New Roman" w:cs="Times New Roman"/>
        </w:rPr>
      </w:pPr>
      <w:r>
        <w:rPr>
          <w:rFonts w:ascii="Times New Roman" w:eastAsia="Times New Roman" w:hAnsi="Times New Roman" w:cs="Times New Roman"/>
          <w:color w:val="000000"/>
          <w:sz w:val="24"/>
          <w:szCs w:val="24"/>
        </w:rPr>
        <w:t>Finansējums tiek piešķirts atklāta projektu pieteikumu konkursa kārtībā.</w:t>
      </w:r>
    </w:p>
    <w:p w14:paraId="2A3DF67F" w14:textId="77777777" w:rsidR="00C357C1" w:rsidRDefault="00C97953" w:rsidP="00D472FA">
      <w:pPr>
        <w:numPr>
          <w:ilvl w:val="1"/>
          <w:numId w:val="1"/>
        </w:numPr>
        <w:pBdr>
          <w:top w:val="nil"/>
          <w:left w:val="nil"/>
          <w:bottom w:val="nil"/>
          <w:right w:val="nil"/>
          <w:between w:val="nil"/>
        </w:pBdr>
        <w:spacing w:after="0"/>
        <w:ind w:left="0" w:hanging="2"/>
        <w:jc w:val="both"/>
        <w:rPr>
          <w:rFonts w:ascii="Times New Roman" w:eastAsia="Times New Roman" w:hAnsi="Times New Roman" w:cs="Times New Roman"/>
        </w:rPr>
      </w:pPr>
      <w:r>
        <w:rPr>
          <w:rFonts w:ascii="Times New Roman" w:eastAsia="Times New Roman" w:hAnsi="Times New Roman" w:cs="Times New Roman"/>
          <w:color w:val="000000"/>
          <w:sz w:val="24"/>
          <w:szCs w:val="24"/>
        </w:rPr>
        <w:t>Projektu konkursu rīko Rēzeknes novada pašvaldība</w:t>
      </w:r>
      <w:r>
        <w:rPr>
          <w:rFonts w:ascii="Times New Roman" w:eastAsia="Times New Roman" w:hAnsi="Times New Roman" w:cs="Times New Roman"/>
          <w:sz w:val="24"/>
          <w:szCs w:val="24"/>
        </w:rPr>
        <w:t>.</w:t>
      </w:r>
    </w:p>
    <w:p w14:paraId="262634F7" w14:textId="77777777" w:rsidR="00C357C1" w:rsidRDefault="00C97953" w:rsidP="00D472FA">
      <w:pPr>
        <w:numPr>
          <w:ilvl w:val="1"/>
          <w:numId w:val="1"/>
        </w:numPr>
        <w:tabs>
          <w:tab w:val="left" w:pos="705"/>
        </w:tabs>
        <w:spacing w:after="0" w:line="240" w:lineRule="auto"/>
        <w:ind w:left="0" w:hanging="2"/>
        <w:jc w:val="both"/>
        <w:rPr>
          <w:rFonts w:ascii="Times New Roman" w:eastAsia="Times New Roman" w:hAnsi="Times New Roman" w:cs="Times New Roman"/>
        </w:rPr>
      </w:pPr>
      <w:bookmarkStart w:id="1" w:name="_Hlk135207955"/>
      <w:r>
        <w:rPr>
          <w:rFonts w:ascii="Times New Roman" w:eastAsia="Times New Roman" w:hAnsi="Times New Roman" w:cs="Times New Roman"/>
          <w:sz w:val="24"/>
          <w:szCs w:val="24"/>
        </w:rPr>
        <w:t xml:space="preserve">Konkursa mērķis ir iedvesmot aktīvai rīcībai un atbalstīt iniciatīvas, kas atbilst ilgtspējīgas uzņēmējdarbības pamatprincipiem, nodrošina jaunu darba vietu radīšanu, inovatīvu, ar paaugstinātu pievienoto vērtību produktu un pakalpojumu veidošanu, kas veicinātu jaunas vai esošas saimnieciskās darbības  attīstību vai dažādošanu. </w:t>
      </w:r>
    </w:p>
    <w:bookmarkEnd w:id="1"/>
    <w:p w14:paraId="22CA9E81" w14:textId="5BFB9C21" w:rsidR="00C357C1" w:rsidRDefault="00C97953" w:rsidP="00D472FA">
      <w:pPr>
        <w:numPr>
          <w:ilvl w:val="1"/>
          <w:numId w:val="1"/>
        </w:numPr>
        <w:pBdr>
          <w:top w:val="nil"/>
          <w:left w:val="nil"/>
          <w:bottom w:val="nil"/>
          <w:right w:val="nil"/>
          <w:between w:val="nil"/>
        </w:pBdr>
        <w:tabs>
          <w:tab w:val="left" w:pos="709"/>
        </w:tabs>
        <w:spacing w:after="0"/>
        <w:ind w:left="0" w:hanging="2"/>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Paziņojums par projektu konkursu tiek publicēts Rēzeknes novada pašvaldības mājas lapā – </w:t>
      </w:r>
      <w:hyperlink r:id="rId13">
        <w:r>
          <w:rPr>
            <w:rFonts w:ascii="Times New Roman" w:eastAsia="Times New Roman" w:hAnsi="Times New Roman" w:cs="Times New Roman"/>
            <w:color w:val="000000"/>
            <w:sz w:val="24"/>
            <w:szCs w:val="24"/>
            <w:u w:val="single"/>
          </w:rPr>
          <w:t>www.rezeknesnovads.lv</w:t>
        </w:r>
      </w:hyperlink>
      <w:r>
        <w:rPr>
          <w:rFonts w:ascii="Times New Roman" w:eastAsia="Times New Roman" w:hAnsi="Times New Roman" w:cs="Times New Roman"/>
          <w:color w:val="000000"/>
        </w:rPr>
        <w:t>.</w:t>
      </w:r>
    </w:p>
    <w:p w14:paraId="522F8C3C" w14:textId="77777777" w:rsidR="00C357C1" w:rsidRDefault="00C97953" w:rsidP="00D472FA">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sz w:val="24"/>
          <w:szCs w:val="24"/>
        </w:rPr>
        <w:t>Projektu konkursā viens pretendents var iesniegt vienu projekta pieteikumu.</w:t>
      </w:r>
    </w:p>
    <w:p w14:paraId="0523BDAE" w14:textId="62C0772C" w:rsidR="00C357C1" w:rsidRPr="00240668" w:rsidRDefault="00C97953" w:rsidP="00D472FA">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240668">
        <w:rPr>
          <w:rFonts w:ascii="Times New Roman" w:eastAsia="Times New Roman" w:hAnsi="Times New Roman" w:cs="Times New Roman"/>
          <w:sz w:val="24"/>
          <w:szCs w:val="24"/>
        </w:rPr>
        <w:t>Projekta ietvaros atbalstītās (izveidotās/attīstītās) saimnieciskās darbības vietas faktiskā adrese ir Rēzeknes novada administratīvā teritorija.</w:t>
      </w:r>
    </w:p>
    <w:p w14:paraId="4730748F" w14:textId="77777777" w:rsidR="00C357C1" w:rsidRDefault="00C97953" w:rsidP="00D472FA">
      <w:pPr>
        <w:numPr>
          <w:ilvl w:val="1"/>
          <w:numId w:val="1"/>
        </w:numPr>
        <w:pBdr>
          <w:top w:val="nil"/>
          <w:left w:val="nil"/>
          <w:bottom w:val="nil"/>
          <w:right w:val="nil"/>
          <w:between w:val="nil"/>
        </w:pBdr>
        <w:tabs>
          <w:tab w:val="left" w:pos="709"/>
          <w:tab w:val="left" w:pos="851"/>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Projekta īstenošanas laiks nepārsniedz 6 (sešus) mēnešus pēc līguma noslēgšanas dienas ar     </w:t>
      </w:r>
    </w:p>
    <w:p w14:paraId="28F45C34" w14:textId="77777777" w:rsidR="00C357C1" w:rsidRDefault="00C97953" w:rsidP="00D472F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t>Rēzeknes novada pašvaldību</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par projekta īstenošanu (turpmāk – Līgums), pieļaujot projekta īstenošanas līguma termiņa pagarinājumu, ja atbalsta pretendents to pamato ar objektīviem iemesliem. </w:t>
      </w:r>
    </w:p>
    <w:p w14:paraId="418210F4" w14:textId="77777777" w:rsidR="00C357C1" w:rsidRDefault="00C357C1" w:rsidP="00D472FA">
      <w:pPr>
        <w:spacing w:after="0" w:line="240" w:lineRule="auto"/>
        <w:ind w:left="0" w:hanging="2"/>
        <w:jc w:val="both"/>
        <w:rPr>
          <w:rFonts w:ascii="Times New Roman" w:eastAsia="Times New Roman" w:hAnsi="Times New Roman" w:cs="Times New Roman"/>
          <w:sz w:val="24"/>
          <w:szCs w:val="24"/>
        </w:rPr>
      </w:pPr>
    </w:p>
    <w:p w14:paraId="35D14738" w14:textId="77777777" w:rsidR="00C357C1" w:rsidRDefault="00C97953" w:rsidP="00AA780F">
      <w:pPr>
        <w:numPr>
          <w:ilvl w:val="0"/>
          <w:numId w:val="1"/>
        </w:numPr>
        <w:pBdr>
          <w:top w:val="nil"/>
          <w:left w:val="nil"/>
          <w:bottom w:val="nil"/>
          <w:right w:val="nil"/>
          <w:between w:val="nil"/>
        </w:pBdr>
        <w:spacing w:after="0" w:line="240" w:lineRule="auto"/>
        <w:ind w:left="-2" w:firstLineChars="176" w:firstLine="42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ATBALSTA PRETENDENTI</w:t>
      </w:r>
    </w:p>
    <w:p w14:paraId="38A5FC5F" w14:textId="77777777" w:rsidR="00C357C1" w:rsidRDefault="00C357C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465DEF19" w14:textId="504412D7" w:rsidR="00162B27" w:rsidRPr="00162B27" w:rsidRDefault="00BB5514" w:rsidP="00D472FA">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Projektu konkursa pretendents nedrīkst būt nevalstiskā organizācija.</w:t>
      </w:r>
    </w:p>
    <w:p w14:paraId="52CF97DC" w14:textId="08EC3300" w:rsidR="00C357C1" w:rsidRDefault="00BB5514" w:rsidP="00D472FA">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sz w:val="24"/>
          <w:szCs w:val="24"/>
        </w:rPr>
        <w:t>Projektu konkursa pretendents drīkst būt f</w:t>
      </w:r>
      <w:r w:rsidR="00C97953">
        <w:rPr>
          <w:rFonts w:ascii="Times New Roman" w:eastAsia="Times New Roman" w:hAnsi="Times New Roman" w:cs="Times New Roman"/>
          <w:color w:val="000000"/>
          <w:sz w:val="24"/>
          <w:szCs w:val="24"/>
        </w:rPr>
        <w:t>iziska vai juridiska persona, kura:</w:t>
      </w:r>
    </w:p>
    <w:p w14:paraId="0101BA7A" w14:textId="77777777" w:rsidR="00C357C1" w:rsidRDefault="00C97953" w:rsidP="00D472FA">
      <w:pPr>
        <w:numPr>
          <w:ilvl w:val="2"/>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plāno uzsākt saimniecisko darbību,</w:t>
      </w:r>
    </w:p>
    <w:p w14:paraId="3A5B8ED9" w14:textId="77777777" w:rsidR="00C357C1" w:rsidRDefault="00C97953" w:rsidP="00D472FA">
      <w:pPr>
        <w:numPr>
          <w:ilvl w:val="2"/>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uzsākusi saimniecisko darbību, bet vēl nav noslēgts finanšu gads un kuras neto </w:t>
      </w:r>
      <w:r>
        <w:rPr>
          <w:rFonts w:ascii="Times New Roman" w:eastAsia="Times New Roman" w:hAnsi="Times New Roman" w:cs="Times New Roman"/>
          <w:color w:val="000000"/>
          <w:sz w:val="24"/>
          <w:szCs w:val="24"/>
          <w:highlight w:val="white"/>
        </w:rPr>
        <w:t xml:space="preserve">apgrozījums no saimnieciskās darbības pēdējo 6 (sešu) mēnešu laikā nepārsniedz </w:t>
      </w:r>
      <w:r>
        <w:rPr>
          <w:rFonts w:ascii="Times New Roman" w:eastAsia="Times New Roman" w:hAnsi="Times New Roman" w:cs="Times New Roman"/>
          <w:color w:val="000000"/>
          <w:sz w:val="24"/>
          <w:szCs w:val="24"/>
        </w:rPr>
        <w:t xml:space="preserve">EUR 15 000,00 (piecpadsmit </w:t>
      </w:r>
      <w:r>
        <w:rPr>
          <w:rFonts w:ascii="Times New Roman" w:eastAsia="Times New Roman" w:hAnsi="Times New Roman" w:cs="Times New Roman"/>
          <w:color w:val="000000"/>
          <w:sz w:val="24"/>
          <w:szCs w:val="24"/>
          <w:highlight w:val="white"/>
        </w:rPr>
        <w:t xml:space="preserve">tūkstoši eiro, 00 centi), </w:t>
      </w:r>
    </w:p>
    <w:p w14:paraId="6583DAF8" w14:textId="77777777" w:rsidR="00C357C1" w:rsidRDefault="00C97953" w:rsidP="00D472FA">
      <w:pPr>
        <w:numPr>
          <w:ilvl w:val="2"/>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 xml:space="preserve">veic saimniecisko darbību un kuras neto apgrozījums no saimnieciskās darbības iepriekšējā noslēgtajā gadā nepārsniedz </w:t>
      </w:r>
      <w:r>
        <w:rPr>
          <w:rFonts w:ascii="Times New Roman" w:eastAsia="Times New Roman" w:hAnsi="Times New Roman" w:cs="Times New Roman"/>
          <w:color w:val="000000"/>
          <w:sz w:val="24"/>
          <w:szCs w:val="24"/>
        </w:rPr>
        <w:t>EUR 30 000,0</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xml:space="preserve"> (trīsdesmit tūkstoši eiro, 00 centi).</w:t>
      </w:r>
    </w:p>
    <w:p w14:paraId="1FC68FA4" w14:textId="77777777" w:rsidR="00C357C1" w:rsidRDefault="00C357C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1F8136AF" w14:textId="77777777" w:rsidR="00C357C1" w:rsidRDefault="00C97953" w:rsidP="00AA780F">
      <w:pPr>
        <w:numPr>
          <w:ilvl w:val="0"/>
          <w:numId w:val="1"/>
        </w:numPr>
        <w:pBdr>
          <w:top w:val="nil"/>
          <w:left w:val="nil"/>
          <w:bottom w:val="nil"/>
          <w:right w:val="nil"/>
          <w:between w:val="nil"/>
        </w:pBdr>
        <w:spacing w:after="0" w:line="240" w:lineRule="auto"/>
        <w:ind w:left="-2" w:firstLineChars="176" w:firstLine="42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FINANSĒJUMA APMĒRS UN PIEŠĶIRŠANAS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NOSACĪJUMI</w:t>
      </w:r>
    </w:p>
    <w:p w14:paraId="3B1BA294" w14:textId="77777777" w:rsidR="00C357C1" w:rsidRDefault="00C357C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2E38DACA" w14:textId="7109C919" w:rsidR="00C357C1" w:rsidRDefault="00C97953" w:rsidP="00D472FA">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bookmarkStart w:id="2" w:name="_Hlk135208094"/>
      <w:r>
        <w:rPr>
          <w:rFonts w:ascii="Times New Roman" w:eastAsia="Times New Roman" w:hAnsi="Times New Roman" w:cs="Times New Roman"/>
          <w:color w:val="000000"/>
          <w:sz w:val="24"/>
          <w:szCs w:val="24"/>
        </w:rPr>
        <w:t>Atklāta projektu konkursa ietvaros kopējais pieejamais finansējums (</w:t>
      </w:r>
      <w:proofErr w:type="spellStart"/>
      <w:r>
        <w:rPr>
          <w:rFonts w:ascii="Times New Roman" w:eastAsia="Times New Roman" w:hAnsi="Times New Roman" w:cs="Times New Roman"/>
          <w:color w:val="000000"/>
          <w:sz w:val="24"/>
          <w:szCs w:val="24"/>
        </w:rPr>
        <w:t>grantu</w:t>
      </w:r>
      <w:proofErr w:type="spellEnd"/>
      <w:r>
        <w:rPr>
          <w:rFonts w:ascii="Times New Roman" w:eastAsia="Times New Roman" w:hAnsi="Times New Roman" w:cs="Times New Roman"/>
          <w:color w:val="000000"/>
          <w:sz w:val="24"/>
          <w:szCs w:val="24"/>
        </w:rPr>
        <w:t xml:space="preserve"> veidā) ir EUR </w:t>
      </w:r>
      <w:r>
        <w:rPr>
          <w:rFonts w:ascii="Times New Roman" w:eastAsia="Times New Roman" w:hAnsi="Times New Roman" w:cs="Times New Roman"/>
          <w:sz w:val="24"/>
          <w:szCs w:val="24"/>
        </w:rPr>
        <w:t>100</w:t>
      </w:r>
      <w:r w:rsidR="001F7403">
        <w:rPr>
          <w:rFonts w:ascii="Times New Roman" w:eastAsia="Times New Roman" w:hAnsi="Times New Roman" w:cs="Times New Roman"/>
          <w:sz w:val="24"/>
          <w:szCs w:val="24"/>
        </w:rPr>
        <w:t xml:space="preserve"> </w:t>
      </w:r>
      <w:r w:rsidRPr="00D472FA">
        <w:rPr>
          <w:rFonts w:ascii="Times New Roman" w:hAnsi="Times New Roman"/>
          <w:sz w:val="24"/>
        </w:rPr>
        <w:t>000</w:t>
      </w:r>
      <w:r w:rsidR="00E467A6">
        <w:rPr>
          <w:rFonts w:ascii="Times New Roman" w:hAnsi="Times New Roman"/>
          <w:sz w:val="24"/>
        </w:rPr>
        <w:t xml:space="preserve">,00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simts</w:t>
      </w:r>
      <w:r w:rsidRPr="00D472FA">
        <w:rPr>
          <w:rFonts w:ascii="Times New Roman" w:hAnsi="Times New Roman"/>
          <w:sz w:val="24"/>
        </w:rPr>
        <w:t xml:space="preserve"> tūkstoši eiro</w:t>
      </w:r>
      <w:r>
        <w:rPr>
          <w:rFonts w:ascii="Times New Roman" w:eastAsia="Times New Roman" w:hAnsi="Times New Roman" w:cs="Times New Roman"/>
          <w:color w:val="000000"/>
          <w:sz w:val="24"/>
          <w:szCs w:val="24"/>
        </w:rPr>
        <w:t>, 00 centi).</w:t>
      </w:r>
    </w:p>
    <w:p w14:paraId="562E34C0" w14:textId="77777777" w:rsidR="00C357C1" w:rsidRDefault="00C97953" w:rsidP="00D472FA">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sz w:val="24"/>
          <w:szCs w:val="24"/>
        </w:rPr>
        <w:t>Projektā pieprasītā finansējuma maksimālais apmērs, jeb grants vienam pretendentam:</w:t>
      </w:r>
    </w:p>
    <w:p w14:paraId="45AA7A86" w14:textId="77777777" w:rsidR="00C357C1" w:rsidRDefault="00C97953" w:rsidP="00D472FA">
      <w:pPr>
        <w:numPr>
          <w:ilvl w:val="2"/>
          <w:numId w:val="1"/>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nav lielāks par EUR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00,00 (</w:t>
      </w:r>
      <w:r>
        <w:rPr>
          <w:rFonts w:ascii="Times New Roman" w:eastAsia="Times New Roman" w:hAnsi="Times New Roman" w:cs="Times New Roman"/>
          <w:sz w:val="24"/>
          <w:szCs w:val="24"/>
        </w:rPr>
        <w:t>pieci tūkstoši</w:t>
      </w:r>
      <w:r>
        <w:rPr>
          <w:rFonts w:ascii="Times New Roman" w:eastAsia="Times New Roman" w:hAnsi="Times New Roman" w:cs="Times New Roman"/>
          <w:color w:val="000000"/>
          <w:sz w:val="24"/>
          <w:szCs w:val="24"/>
        </w:rPr>
        <w:t xml:space="preserve"> eiro, 00 centi),</w:t>
      </w:r>
    </w:p>
    <w:bookmarkEnd w:id="2"/>
    <w:p w14:paraId="382B392D" w14:textId="77777777" w:rsidR="00C357C1" w:rsidRDefault="00C97953" w:rsidP="00D472FA">
      <w:pPr>
        <w:numPr>
          <w:ilvl w:val="2"/>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kooperatīvajai sabiedrībai nav lielāks par EUR 10 000,00 (desmit tūkstoši eiro, 00 centi),</w:t>
      </w:r>
    </w:p>
    <w:p w14:paraId="6D3D4CA9" w14:textId="77777777" w:rsidR="00C357C1" w:rsidRDefault="00C97953" w:rsidP="00D472FA">
      <w:pPr>
        <w:numPr>
          <w:ilvl w:val="2"/>
          <w:numId w:val="1"/>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color w:val="000000"/>
          <w:sz w:val="24"/>
          <w:szCs w:val="24"/>
        </w:rPr>
      </w:pPr>
      <w:bookmarkStart w:id="3" w:name="_Hlk135212568"/>
      <w:r>
        <w:rPr>
          <w:rFonts w:ascii="Times New Roman" w:eastAsia="Times New Roman" w:hAnsi="Times New Roman" w:cs="Times New Roman"/>
          <w:color w:val="000000"/>
          <w:sz w:val="24"/>
          <w:szCs w:val="24"/>
        </w:rPr>
        <w:t xml:space="preserve">papildus finansējums vides pieejamības nodrošināšanai (durvju ailu paplašināšana, tualešu pielāgošana, </w:t>
      </w:r>
      <w:proofErr w:type="spellStart"/>
      <w:r>
        <w:rPr>
          <w:rFonts w:ascii="Times New Roman" w:eastAsia="Times New Roman" w:hAnsi="Times New Roman" w:cs="Times New Roman"/>
          <w:color w:val="000000"/>
          <w:sz w:val="24"/>
          <w:szCs w:val="24"/>
        </w:rPr>
        <w:t>uzbrauktuves</w:t>
      </w:r>
      <w:proofErr w:type="spellEnd"/>
      <w:r>
        <w:rPr>
          <w:rFonts w:ascii="Times New Roman" w:eastAsia="Times New Roman" w:hAnsi="Times New Roman" w:cs="Times New Roman"/>
          <w:color w:val="000000"/>
          <w:sz w:val="24"/>
          <w:szCs w:val="24"/>
        </w:rPr>
        <w:t xml:space="preserve"> u.tml.) un saistītā aprīkojuma iegādei nav lielāks par EUR 2 000,00 (divi tūkstoši eiro, 00 centi).</w:t>
      </w:r>
    </w:p>
    <w:p w14:paraId="62ED3405" w14:textId="7094FF78" w:rsidR="00240668" w:rsidRDefault="00240668" w:rsidP="00D472FA">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bookmarkStart w:id="4" w:name="_Hlk135212576"/>
      <w:bookmarkEnd w:id="3"/>
      <w:r>
        <w:rPr>
          <w:rFonts w:ascii="Times New Roman" w:eastAsia="Times New Roman" w:hAnsi="Times New Roman" w:cs="Times New Roman"/>
        </w:rPr>
        <w:t>Projekta pretendents nodrošina līdzfinansējumu ne mazāku kā 10% no projekta kopējās summas.</w:t>
      </w:r>
    </w:p>
    <w:p w14:paraId="1A2DD479" w14:textId="7DA94C9E" w:rsidR="00240668" w:rsidRPr="00240668" w:rsidRDefault="00240668" w:rsidP="00D472FA">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Rēzeknes novada pašvaldības </w:t>
      </w:r>
      <w:proofErr w:type="spellStart"/>
      <w:r>
        <w:rPr>
          <w:rFonts w:ascii="Times New Roman" w:eastAsia="Times New Roman" w:hAnsi="Times New Roman" w:cs="Times New Roman"/>
        </w:rPr>
        <w:t>granta</w:t>
      </w:r>
      <w:proofErr w:type="spellEnd"/>
      <w:r>
        <w:rPr>
          <w:rFonts w:ascii="Times New Roman" w:eastAsia="Times New Roman" w:hAnsi="Times New Roman" w:cs="Times New Roman"/>
        </w:rPr>
        <w:t xml:space="preserve"> apmērs ir 90% no projekta kopējās summas.</w:t>
      </w:r>
    </w:p>
    <w:bookmarkEnd w:id="4"/>
    <w:p w14:paraId="2429EBFE" w14:textId="4F9820C4" w:rsidR="00C357C1" w:rsidRDefault="00C97953" w:rsidP="00D472FA">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sz w:val="24"/>
          <w:szCs w:val="24"/>
        </w:rPr>
        <w:t>Rēzeknes novada pašvaldībai</w:t>
      </w:r>
      <w:r>
        <w:rPr>
          <w:rFonts w:ascii="Times New Roman" w:eastAsia="Times New Roman" w:hAnsi="Times New Roman" w:cs="Times New Roman"/>
          <w:color w:val="000000"/>
          <w:sz w:val="24"/>
          <w:szCs w:val="24"/>
        </w:rPr>
        <w:t xml:space="preserve"> ir</w:t>
      </w:r>
      <w:bookmarkStart w:id="5" w:name="_GoBack"/>
      <w:bookmarkEnd w:id="5"/>
      <w:r>
        <w:rPr>
          <w:rFonts w:ascii="Times New Roman" w:eastAsia="Times New Roman" w:hAnsi="Times New Roman" w:cs="Times New Roman"/>
          <w:color w:val="000000"/>
          <w:sz w:val="24"/>
          <w:szCs w:val="24"/>
        </w:rPr>
        <w:t xml:space="preserve"> tiesības piešķirt avansu 50% apmērā no projektā pieprasītās </w:t>
      </w:r>
      <w:proofErr w:type="spellStart"/>
      <w:r>
        <w:rPr>
          <w:rFonts w:ascii="Times New Roman" w:eastAsia="Times New Roman" w:hAnsi="Times New Roman" w:cs="Times New Roman"/>
          <w:color w:val="000000"/>
          <w:sz w:val="24"/>
          <w:szCs w:val="24"/>
        </w:rPr>
        <w:t>granta</w:t>
      </w:r>
      <w:proofErr w:type="spellEnd"/>
      <w:r>
        <w:rPr>
          <w:rFonts w:ascii="Times New Roman" w:eastAsia="Times New Roman" w:hAnsi="Times New Roman" w:cs="Times New Roman"/>
          <w:color w:val="000000"/>
          <w:sz w:val="24"/>
          <w:szCs w:val="24"/>
        </w:rPr>
        <w:t xml:space="preserve"> summas, pārējo </w:t>
      </w:r>
      <w:proofErr w:type="spellStart"/>
      <w:r>
        <w:rPr>
          <w:rFonts w:ascii="Times New Roman" w:eastAsia="Times New Roman" w:hAnsi="Times New Roman" w:cs="Times New Roman"/>
          <w:color w:val="000000"/>
          <w:sz w:val="24"/>
          <w:szCs w:val="24"/>
        </w:rPr>
        <w:t>granta</w:t>
      </w:r>
      <w:proofErr w:type="spellEnd"/>
      <w:r>
        <w:rPr>
          <w:rFonts w:ascii="Times New Roman" w:eastAsia="Times New Roman" w:hAnsi="Times New Roman" w:cs="Times New Roman"/>
          <w:color w:val="000000"/>
          <w:sz w:val="24"/>
          <w:szCs w:val="24"/>
        </w:rPr>
        <w:t xml:space="preserve"> summu izmaksājot pēc projekta īstenošanas un veikto darījumu maksājumu dokumentu saņemšanas.</w:t>
      </w:r>
    </w:p>
    <w:p w14:paraId="774F2931" w14:textId="77777777" w:rsidR="00C357C1" w:rsidRDefault="00C97953" w:rsidP="00D472FA">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Rēzeknes novada pašvaldība </w:t>
      </w:r>
      <w:r>
        <w:rPr>
          <w:rFonts w:ascii="Times New Roman" w:eastAsia="Times New Roman" w:hAnsi="Times New Roman" w:cs="Times New Roman"/>
          <w:b/>
          <w:color w:val="000000"/>
          <w:sz w:val="24"/>
          <w:szCs w:val="24"/>
        </w:rPr>
        <w:t>nepiešķir</w:t>
      </w:r>
      <w:r>
        <w:rPr>
          <w:rFonts w:ascii="Times New Roman" w:eastAsia="Times New Roman" w:hAnsi="Times New Roman" w:cs="Times New Roman"/>
          <w:color w:val="000000"/>
          <w:sz w:val="24"/>
          <w:szCs w:val="24"/>
        </w:rPr>
        <w:t xml:space="preserve"> finansējumu fiziskām vai juridiskām personām, kurām  nodokļu parādi pārsniedz 150,00 EUR projekta pieteikuma iesniegšanas brīdī.</w:t>
      </w:r>
    </w:p>
    <w:p w14:paraId="32EC264D" w14:textId="0F0A921D" w:rsidR="00C357C1" w:rsidRPr="00D472FA" w:rsidRDefault="00C97953" w:rsidP="00D472FA">
      <w:pPr>
        <w:numPr>
          <w:ilvl w:val="1"/>
          <w:numId w:val="1"/>
        </w:numPr>
        <w:pBdr>
          <w:top w:val="nil"/>
          <w:left w:val="nil"/>
          <w:bottom w:val="nil"/>
          <w:right w:val="nil"/>
          <w:between w:val="nil"/>
        </w:pBdr>
        <w:spacing w:after="0"/>
        <w:ind w:left="0" w:hanging="2"/>
        <w:jc w:val="both"/>
        <w:rPr>
          <w:rFonts w:ascii="Times New Roman" w:hAnsi="Times New Roman"/>
          <w:color w:val="000000"/>
        </w:rPr>
      </w:pPr>
      <w:r w:rsidRPr="00D472FA">
        <w:rPr>
          <w:rFonts w:ascii="Times New Roman" w:hAnsi="Times New Roman"/>
          <w:color w:val="000000"/>
          <w:sz w:val="24"/>
        </w:rPr>
        <w:t>Atbalsts netiek sniegts pretendentiem, kuri saņēmuši Rēzeknes novada pašvaldības finansējumu 202</w:t>
      </w:r>
      <w:r>
        <w:rPr>
          <w:rFonts w:ascii="Times New Roman" w:eastAsia="Times New Roman" w:hAnsi="Times New Roman" w:cs="Times New Roman"/>
          <w:sz w:val="24"/>
          <w:szCs w:val="24"/>
        </w:rPr>
        <w:t>1</w:t>
      </w:r>
      <w:r w:rsidRPr="00D472FA">
        <w:rPr>
          <w:rFonts w:ascii="Times New Roman" w:hAnsi="Times New Roman"/>
          <w:color w:val="000000"/>
          <w:sz w:val="24"/>
        </w:rPr>
        <w:t>.</w:t>
      </w:r>
      <w:r>
        <w:rPr>
          <w:rFonts w:ascii="Times New Roman" w:eastAsia="Times New Roman" w:hAnsi="Times New Roman" w:cs="Times New Roman"/>
          <w:color w:val="000000"/>
          <w:sz w:val="24"/>
          <w:szCs w:val="24"/>
        </w:rPr>
        <w:t xml:space="preserve"> un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r w:rsidRPr="00D472FA">
        <w:rPr>
          <w:rFonts w:ascii="Times New Roman" w:hAnsi="Times New Roman"/>
          <w:color w:val="000000"/>
          <w:sz w:val="24"/>
        </w:rPr>
        <w:t xml:space="preserve"> gada projektu konkursā „Atbalsts uzņēmumu radīšanai un attīstībai Rēzeknes novadā”. </w:t>
      </w:r>
    </w:p>
    <w:p w14:paraId="28862839" w14:textId="77777777" w:rsidR="00C357C1" w:rsidRDefault="00C97953" w:rsidP="00D472FA">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bookmarkStart w:id="6" w:name="_Hlk135212599"/>
      <w:r>
        <w:rPr>
          <w:rFonts w:ascii="Times New Roman" w:eastAsia="Times New Roman" w:hAnsi="Times New Roman" w:cs="Times New Roman"/>
          <w:sz w:val="24"/>
          <w:szCs w:val="24"/>
        </w:rPr>
        <w:t>Rēzeknes novada pašvaldība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nepiešķir</w:t>
      </w:r>
      <w:r>
        <w:rPr>
          <w:rFonts w:ascii="Times New Roman" w:eastAsia="Times New Roman" w:hAnsi="Times New Roman" w:cs="Times New Roman"/>
          <w:color w:val="000000"/>
          <w:sz w:val="24"/>
          <w:szCs w:val="24"/>
        </w:rPr>
        <w:t xml:space="preserve"> finansējumu projektiem, kurus plānots īstenot šādās nozarēs:</w:t>
      </w:r>
    </w:p>
    <w:p w14:paraId="3DC1DACA" w14:textId="77777777" w:rsidR="00C357C1" w:rsidRDefault="00C97953" w:rsidP="00D472FA">
      <w:pPr>
        <w:numPr>
          <w:ilvl w:val="2"/>
          <w:numId w:val="1"/>
        </w:numPr>
        <w:pBdr>
          <w:top w:val="nil"/>
          <w:left w:val="nil"/>
          <w:bottom w:val="nil"/>
          <w:right w:val="nil"/>
          <w:between w:val="nil"/>
        </w:pBdr>
        <w:tabs>
          <w:tab w:val="left" w:pos="709"/>
          <w:tab w:val="left" w:pos="180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starptautiskie pārvadājumi,</w:t>
      </w:r>
    </w:p>
    <w:p w14:paraId="50F3472E" w14:textId="77777777" w:rsidR="00C357C1" w:rsidRDefault="00C97953" w:rsidP="00D472FA">
      <w:pPr>
        <w:numPr>
          <w:ilvl w:val="2"/>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azartspēļu pakalpojumu sniegšana,</w:t>
      </w:r>
    </w:p>
    <w:p w14:paraId="1FFE9AB6" w14:textId="77777777" w:rsidR="00C357C1" w:rsidRDefault="00C97953" w:rsidP="00D472FA">
      <w:pPr>
        <w:numPr>
          <w:ilvl w:val="2"/>
          <w:numId w:val="1"/>
        </w:numPr>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mazumtirdzniecība, izņemot specializētu tirdzniecības vietu ierīkošanu vietēji ražotās produkcijas realizācijai,</w:t>
      </w:r>
    </w:p>
    <w:p w14:paraId="0581FA48" w14:textId="77777777" w:rsidR="00C357C1" w:rsidRDefault="00C97953" w:rsidP="00D472FA">
      <w:pPr>
        <w:numPr>
          <w:ilvl w:val="2"/>
          <w:numId w:val="1"/>
        </w:numPr>
        <w:pBdr>
          <w:top w:val="nil"/>
          <w:left w:val="nil"/>
          <w:bottom w:val="nil"/>
          <w:right w:val="nil"/>
          <w:between w:val="nil"/>
        </w:pBdr>
        <w:tabs>
          <w:tab w:val="left" w:pos="709"/>
          <w:tab w:val="left" w:pos="180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vairumtirdzniecība,</w:t>
      </w:r>
    </w:p>
    <w:p w14:paraId="666B5E8A" w14:textId="77777777" w:rsidR="00C357C1" w:rsidRDefault="00C97953" w:rsidP="00D472FA">
      <w:pPr>
        <w:numPr>
          <w:ilvl w:val="2"/>
          <w:numId w:val="1"/>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alkohola un tabakas izstrādājumu ražošana vai tirdzniecība (izņemot mazās alkoholisko dzērienu darītavas),</w:t>
      </w:r>
    </w:p>
    <w:p w14:paraId="4016D1CA" w14:textId="77777777" w:rsidR="00C357C1" w:rsidRDefault="00C97953" w:rsidP="00D472FA">
      <w:pPr>
        <w:numPr>
          <w:ilvl w:val="2"/>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finanšu starpniecības pakalpojumi, </w:t>
      </w:r>
    </w:p>
    <w:p w14:paraId="467AFD50" w14:textId="77777777" w:rsidR="00C357C1" w:rsidRDefault="00C97953" w:rsidP="00D472FA">
      <w:pPr>
        <w:numPr>
          <w:ilvl w:val="2"/>
          <w:numId w:val="1"/>
        </w:numPr>
        <w:pBdr>
          <w:top w:val="nil"/>
          <w:left w:val="nil"/>
          <w:bottom w:val="nil"/>
          <w:right w:val="nil"/>
          <w:between w:val="nil"/>
        </w:pBdr>
        <w:tabs>
          <w:tab w:val="left" w:pos="709"/>
          <w:tab w:val="left" w:pos="180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šaujamieroču un munīcijas ražošana vai tirdzniecība (izņemot izklaidei paredzēto aktivitāšu ieročus - </w:t>
      </w:r>
      <w:r>
        <w:rPr>
          <w:rFonts w:ascii="Times New Roman" w:eastAsia="Times New Roman" w:hAnsi="Times New Roman" w:cs="Times New Roman"/>
          <w:color w:val="000000"/>
          <w:sz w:val="24"/>
          <w:szCs w:val="24"/>
          <w:highlight w:val="white"/>
        </w:rPr>
        <w:t xml:space="preserve">loku, arbaletu u.tml.), </w:t>
      </w:r>
    </w:p>
    <w:p w14:paraId="7754B21D" w14:textId="04DACEB8" w:rsidR="00C357C1" w:rsidRDefault="00C97953" w:rsidP="00D472FA">
      <w:pPr>
        <w:numPr>
          <w:ilvl w:val="2"/>
          <w:numId w:val="1"/>
        </w:numPr>
        <w:pBdr>
          <w:top w:val="nil"/>
          <w:left w:val="nil"/>
          <w:bottom w:val="nil"/>
          <w:right w:val="nil"/>
          <w:between w:val="nil"/>
        </w:pBdr>
        <w:tabs>
          <w:tab w:val="left" w:pos="709"/>
          <w:tab w:val="left" w:pos="1843"/>
        </w:tabs>
        <w:spacing w:after="0" w:line="240" w:lineRule="auto"/>
        <w:ind w:left="0" w:hanging="2"/>
        <w:jc w:val="both"/>
        <w:rPr>
          <w:rFonts w:ascii="Times New Roman" w:eastAsia="Times New Roman" w:hAnsi="Times New Roman" w:cs="Times New Roman"/>
          <w:sz w:val="24"/>
          <w:szCs w:val="24"/>
        </w:rPr>
      </w:pPr>
      <w:bookmarkStart w:id="7" w:name="_Hlk129762142"/>
      <w:r>
        <w:rPr>
          <w:rFonts w:ascii="Times New Roman" w:eastAsia="Times New Roman" w:hAnsi="Times New Roman" w:cs="Times New Roman"/>
          <w:sz w:val="24"/>
          <w:szCs w:val="24"/>
        </w:rPr>
        <w:t xml:space="preserve">atbalsts netiek piešķirts nozarēm un darbībām (skat. Nolikuma 1.pielikumu), kuras minētas </w:t>
      </w:r>
      <w:bookmarkStart w:id="8" w:name="_Hlk131416823"/>
      <w:r>
        <w:rPr>
          <w:rFonts w:ascii="Times New Roman" w:eastAsia="Times New Roman" w:hAnsi="Times New Roman" w:cs="Times New Roman"/>
          <w:sz w:val="24"/>
          <w:szCs w:val="24"/>
        </w:rPr>
        <w:t xml:space="preserve">Eiropas Komisijas 2013.gada 18.decembra Regulā (ES) Nr.1407/2013 par Līguma par Eiropas Savienības darbību 107. un 108.panta piemērošanu </w:t>
      </w:r>
      <w:proofErr w:type="spellStart"/>
      <w:r>
        <w:rPr>
          <w:rFonts w:ascii="Times New Roman" w:eastAsia="Times New Roman" w:hAnsi="Times New Roman" w:cs="Times New Roman"/>
          <w:i/>
          <w:sz w:val="24"/>
          <w:szCs w:val="24"/>
        </w:rPr>
        <w:t>de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minimis</w:t>
      </w:r>
      <w:proofErr w:type="spellEnd"/>
      <w:r>
        <w:rPr>
          <w:rFonts w:ascii="Times New Roman" w:eastAsia="Times New Roman" w:hAnsi="Times New Roman" w:cs="Times New Roman"/>
          <w:sz w:val="24"/>
          <w:szCs w:val="24"/>
        </w:rPr>
        <w:t xml:space="preserve"> atbalstam </w:t>
      </w:r>
      <w:bookmarkEnd w:id="8"/>
      <w:r>
        <w:rPr>
          <w:rFonts w:ascii="Times New Roman" w:eastAsia="Times New Roman" w:hAnsi="Times New Roman" w:cs="Times New Roman"/>
          <w:sz w:val="24"/>
          <w:szCs w:val="24"/>
        </w:rPr>
        <w:t xml:space="preserve">(turpmāk – </w:t>
      </w:r>
      <w:bookmarkStart w:id="9" w:name="_Hlk131416849"/>
      <w:r>
        <w:rPr>
          <w:rFonts w:ascii="Times New Roman" w:eastAsia="Times New Roman" w:hAnsi="Times New Roman" w:cs="Times New Roman"/>
          <w:sz w:val="24"/>
          <w:szCs w:val="24"/>
        </w:rPr>
        <w:t>Komisijas regula Nr.1407/2013)</w:t>
      </w:r>
      <w:bookmarkEnd w:id="9"/>
      <w:r>
        <w:rPr>
          <w:rFonts w:ascii="Times New Roman" w:eastAsia="Times New Roman" w:hAnsi="Times New Roman" w:cs="Times New Roman"/>
          <w:sz w:val="24"/>
          <w:szCs w:val="24"/>
        </w:rPr>
        <w:t xml:space="preserve"> 1.panta 1.punktā.</w:t>
      </w:r>
      <w:r>
        <w:t xml:space="preserve"> </w:t>
      </w:r>
      <w:r>
        <w:rPr>
          <w:rFonts w:ascii="Times New Roman" w:eastAsia="Times New Roman" w:hAnsi="Times New Roman" w:cs="Times New Roman"/>
          <w:sz w:val="24"/>
          <w:szCs w:val="24"/>
        </w:rPr>
        <w:t xml:space="preserve">Ja atbalsta pretendents darbojas arī nozarēs, kas minētas Komisijas Regulas Nr.1407/2013 1.panta 1.punkta a), b) un c) apakšpunktā, tas atbilstoši Komisijas regulas Nr.1407/2013 1.panta 2.punktam nodrošina šo nozaru darbību vai izmaksu nošķiršanu no tām darbībām, kurām piešķirts </w:t>
      </w:r>
      <w:proofErr w:type="spellStart"/>
      <w:r>
        <w:rPr>
          <w:rFonts w:ascii="Times New Roman" w:eastAsia="Times New Roman" w:hAnsi="Times New Roman" w:cs="Times New Roman"/>
          <w:i/>
          <w:sz w:val="24"/>
          <w:szCs w:val="24"/>
        </w:rPr>
        <w:t>de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minimis</w:t>
      </w:r>
      <w:proofErr w:type="spellEnd"/>
      <w:r>
        <w:rPr>
          <w:rFonts w:ascii="Times New Roman" w:eastAsia="Times New Roman" w:hAnsi="Times New Roman" w:cs="Times New Roman"/>
          <w:sz w:val="24"/>
          <w:szCs w:val="24"/>
        </w:rPr>
        <w:t xml:space="preserve"> atbalsts, nodrošinot, ka darbības minētajās nozarēs vai attiecīgās darbības negūst labumu no piešķirtā atbalsta.</w:t>
      </w:r>
    </w:p>
    <w:bookmarkEnd w:id="6"/>
    <w:bookmarkEnd w:id="7"/>
    <w:p w14:paraId="0741EA64" w14:textId="77777777" w:rsidR="00C357C1" w:rsidRDefault="00C97953" w:rsidP="00D472FA">
      <w:pPr>
        <w:numPr>
          <w:ilvl w:val="1"/>
          <w:numId w:val="1"/>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sz w:val="24"/>
          <w:szCs w:val="24"/>
        </w:rPr>
        <w:t>Finansējuma saņēmējs apņemas īstenot saimniecisko darbību projekta īstenošanas kalendārajā gadā un uzraudzības periodā 3 (trīs) kalendārie gadi pēc projekta īstenošanas</w:t>
      </w:r>
      <w:r>
        <w:rPr>
          <w:rFonts w:ascii="Times New Roman" w:eastAsia="Times New Roman" w:hAnsi="Times New Roman" w:cs="Times New Roman"/>
          <w:sz w:val="24"/>
          <w:szCs w:val="24"/>
        </w:rPr>
        <w:t xml:space="preserve"> vai 5 (piecus) kalendāros gadus, ja finansējums piešķirts saskaņā ar Nolikuma 3.2.3.punktu.</w:t>
      </w:r>
    </w:p>
    <w:p w14:paraId="06C9A884" w14:textId="211D3A7F" w:rsidR="00C357C1" w:rsidRDefault="00C97953" w:rsidP="00D472FA">
      <w:pPr>
        <w:numPr>
          <w:ilvl w:val="1"/>
          <w:numId w:val="1"/>
        </w:numPr>
        <w:pBdr>
          <w:top w:val="nil"/>
          <w:left w:val="nil"/>
          <w:bottom w:val="nil"/>
          <w:right w:val="nil"/>
          <w:between w:val="nil"/>
        </w:pBdr>
        <w:tabs>
          <w:tab w:val="left" w:pos="709"/>
          <w:tab w:val="left" w:pos="851"/>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Piešķirot atbalstu ar Komisijas regulu 1407/2013, Rēzeknes novada pašvaldība pārbauda, vai projekta pretendents nav saņēmis </w:t>
      </w:r>
      <w:proofErr w:type="spellStart"/>
      <w:r>
        <w:rPr>
          <w:rFonts w:ascii="Times New Roman" w:eastAsia="Times New Roman" w:hAnsi="Times New Roman" w:cs="Times New Roman"/>
          <w:i/>
          <w:sz w:val="24"/>
          <w:szCs w:val="24"/>
        </w:rPr>
        <w:t>de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minimis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atbalstu, kas kopā ar plānoto atbalstu attiecīgajā fiskālajā </w:t>
      </w:r>
      <w:r>
        <w:rPr>
          <w:rFonts w:ascii="Times New Roman" w:eastAsia="Times New Roman" w:hAnsi="Times New Roman" w:cs="Times New Roman"/>
          <w:sz w:val="24"/>
          <w:szCs w:val="24"/>
        </w:rPr>
        <w:lastRenderedPageBreak/>
        <w:t>gadā un iepriekšējos divos fiskālajos gados pārsniedz Komisijas Regulas Nr.1407/2013</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3.panta 2.punktā noteikto maksimālo apmēru viena vienota uzņēmuma līmenī</w:t>
      </w:r>
      <w:r w:rsidR="00CE4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Viens vienots uzņēmums atbilst Komisijas Regulas Nr.1407/2013 2.panta 2.punktā noteiktajai „viena vienota uzņēmuma” definīcijai. </w:t>
      </w:r>
    </w:p>
    <w:p w14:paraId="01528D8C" w14:textId="59392948" w:rsidR="00C357C1" w:rsidRDefault="00C97953" w:rsidP="00D472FA">
      <w:pPr>
        <w:numPr>
          <w:ilvl w:val="1"/>
          <w:numId w:val="1"/>
        </w:numPr>
        <w:pBdr>
          <w:top w:val="nil"/>
          <w:left w:val="nil"/>
          <w:bottom w:val="nil"/>
          <w:right w:val="nil"/>
          <w:between w:val="nil"/>
        </w:pBdr>
        <w:tabs>
          <w:tab w:val="left" w:pos="567"/>
          <w:tab w:val="left" w:pos="851"/>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Piešķirto </w:t>
      </w:r>
      <w:proofErr w:type="spellStart"/>
      <w:r>
        <w:rPr>
          <w:rFonts w:ascii="Times New Roman" w:eastAsia="Times New Roman" w:hAnsi="Times New Roman" w:cs="Times New Roman"/>
          <w:i/>
          <w:sz w:val="24"/>
          <w:szCs w:val="24"/>
        </w:rPr>
        <w:t>de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minimis</w:t>
      </w:r>
      <w:proofErr w:type="spellEnd"/>
      <w:r>
        <w:rPr>
          <w:rFonts w:ascii="Times New Roman" w:eastAsia="Times New Roman" w:hAnsi="Times New Roman" w:cs="Times New Roman"/>
          <w:sz w:val="24"/>
          <w:szCs w:val="24"/>
        </w:rPr>
        <w:t xml:space="preserve"> atbalstu attiecībā uz vienām un tām pašām attiecināmajām izmaksām, kas piešķirts šī konkursa noteikumu ietvaros, nedrīkst </w:t>
      </w:r>
      <w:proofErr w:type="spellStart"/>
      <w:r>
        <w:rPr>
          <w:rFonts w:ascii="Times New Roman" w:eastAsia="Times New Roman" w:hAnsi="Times New Roman" w:cs="Times New Roman"/>
          <w:sz w:val="24"/>
          <w:szCs w:val="24"/>
        </w:rPr>
        <w:t>kumulēt</w:t>
      </w:r>
      <w:proofErr w:type="spellEnd"/>
      <w:r>
        <w:rPr>
          <w:rFonts w:ascii="Times New Roman" w:eastAsia="Times New Roman" w:hAnsi="Times New Roman" w:cs="Times New Roman"/>
          <w:sz w:val="24"/>
          <w:szCs w:val="24"/>
        </w:rPr>
        <w:t xml:space="preserve"> ar komercdarbības atbalstu citu atbalsta programmu vai </w:t>
      </w:r>
      <w:proofErr w:type="spellStart"/>
      <w:r>
        <w:rPr>
          <w:rFonts w:ascii="Times New Roman" w:eastAsia="Times New Roman" w:hAnsi="Times New Roman" w:cs="Times New Roman"/>
          <w:i/>
          <w:sz w:val="24"/>
          <w:szCs w:val="24"/>
        </w:rPr>
        <w:t>ad-hoc</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atbalstu ietvaros, tai skaitā citu </w:t>
      </w:r>
      <w:proofErr w:type="spellStart"/>
      <w:r>
        <w:rPr>
          <w:rFonts w:ascii="Times New Roman" w:eastAsia="Times New Roman" w:hAnsi="Times New Roman" w:cs="Times New Roman"/>
          <w:i/>
          <w:sz w:val="24"/>
          <w:szCs w:val="24"/>
        </w:rPr>
        <w:t>de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minimis</w:t>
      </w:r>
      <w:proofErr w:type="spellEnd"/>
      <w:r>
        <w:rPr>
          <w:rFonts w:ascii="Times New Roman" w:eastAsia="Times New Roman" w:hAnsi="Times New Roman" w:cs="Times New Roman"/>
          <w:sz w:val="24"/>
          <w:szCs w:val="24"/>
        </w:rPr>
        <w:t xml:space="preserve"> atbalstu, neatkarīgi no finansējuma avota. </w:t>
      </w:r>
    </w:p>
    <w:p w14:paraId="30FCE93D" w14:textId="041EC92E" w:rsidR="00F35A6C" w:rsidRPr="00F35A6C" w:rsidRDefault="00F35A6C" w:rsidP="00D472FA">
      <w:pPr>
        <w:numPr>
          <w:ilvl w:val="1"/>
          <w:numId w:val="1"/>
        </w:numPr>
        <w:tabs>
          <w:tab w:val="left" w:pos="709"/>
          <w:tab w:val="left" w:pos="3119"/>
        </w:tabs>
        <w:spacing w:after="0" w:line="240" w:lineRule="auto"/>
        <w:ind w:left="0" w:hanging="2"/>
        <w:jc w:val="both"/>
        <w:rPr>
          <w:rFonts w:ascii="Times New Roman" w:eastAsia="Times New Roman" w:hAnsi="Times New Roman" w:cs="Times New Roman"/>
          <w:b/>
        </w:rPr>
      </w:pPr>
      <w:r w:rsidRPr="00F35A6C">
        <w:rPr>
          <w:rFonts w:ascii="Times New Roman" w:eastAsia="Times New Roman" w:hAnsi="Times New Roman" w:cs="Times New Roman"/>
          <w:sz w:val="24"/>
          <w:szCs w:val="24"/>
        </w:rPr>
        <w:t xml:space="preserve">Ja tiek pārkāptas šajā nolikumā noteiktās komercdarbības atbalsta kontroles normas, tostarp nosacījumi, kas izriet no Komisijas regulas Nr.1407/2013, atbalsta saņēmējam ir pienākums atmaksāt atbalsta sniedzējam visu projekta ietvaros saņemto </w:t>
      </w:r>
      <w:proofErr w:type="spellStart"/>
      <w:r w:rsidRPr="00F35A6C">
        <w:rPr>
          <w:rFonts w:ascii="Times New Roman" w:eastAsia="Times New Roman" w:hAnsi="Times New Roman" w:cs="Times New Roman"/>
          <w:sz w:val="24"/>
          <w:szCs w:val="24"/>
        </w:rPr>
        <w:t>de</w:t>
      </w:r>
      <w:proofErr w:type="spellEnd"/>
      <w:r w:rsidRPr="00F35A6C">
        <w:rPr>
          <w:rFonts w:ascii="Times New Roman" w:eastAsia="Times New Roman" w:hAnsi="Times New Roman" w:cs="Times New Roman"/>
          <w:sz w:val="24"/>
          <w:szCs w:val="24"/>
        </w:rPr>
        <w:t xml:space="preserve"> </w:t>
      </w:r>
      <w:proofErr w:type="spellStart"/>
      <w:r w:rsidRPr="00F35A6C">
        <w:rPr>
          <w:rFonts w:ascii="Times New Roman" w:eastAsia="Times New Roman" w:hAnsi="Times New Roman" w:cs="Times New Roman"/>
          <w:sz w:val="24"/>
          <w:szCs w:val="24"/>
        </w:rPr>
        <w:t>minimis</w:t>
      </w:r>
      <w:proofErr w:type="spellEnd"/>
      <w:r w:rsidRPr="00F35A6C">
        <w:rPr>
          <w:rFonts w:ascii="Times New Roman" w:eastAsia="Times New Roman" w:hAnsi="Times New Roman" w:cs="Times New Roman"/>
          <w:sz w:val="24"/>
          <w:szCs w:val="24"/>
        </w:rPr>
        <w:t xml:space="preserve"> atbalstu kopā ar procentiem no līdzekļiem, kas ir brīvi no komercdarbības atbalsta, atbilstoši Komercdarbības atbalsta kontroles likuma IV vai V nodaļas nosacījumiem.</w:t>
      </w:r>
    </w:p>
    <w:p w14:paraId="26D9CB7C" w14:textId="6624E89E" w:rsidR="00C357C1" w:rsidRDefault="00C97953" w:rsidP="00D472FA">
      <w:pPr>
        <w:numPr>
          <w:ilvl w:val="1"/>
          <w:numId w:val="1"/>
        </w:numPr>
        <w:tabs>
          <w:tab w:val="left" w:pos="709"/>
          <w:tab w:val="left" w:pos="3119"/>
        </w:tabs>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sz w:val="24"/>
          <w:szCs w:val="24"/>
        </w:rPr>
        <w:t>Attiecināmās izmaksas:</w:t>
      </w:r>
    </w:p>
    <w:p w14:paraId="7A99D9AA" w14:textId="094E7AD6" w:rsidR="00F35A6C" w:rsidRDefault="00C97953" w:rsidP="00F35A6C">
      <w:pPr>
        <w:numPr>
          <w:ilvl w:val="2"/>
          <w:numId w:val="1"/>
        </w:numPr>
        <w:pBdr>
          <w:top w:val="nil"/>
          <w:left w:val="nil"/>
          <w:bottom w:val="nil"/>
          <w:right w:val="nil"/>
          <w:between w:val="nil"/>
        </w:pBdr>
        <w:tabs>
          <w:tab w:val="left" w:pos="709"/>
          <w:tab w:val="left" w:pos="1418"/>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inventāra, iekārtu iegāde (piegādes, tai skaitā atmuitošanas un uzstādīšanas izmaksas var tikt iekļautas cenā), ar kuru palīdzību produkts tiks ražots, pārstrādāts, šķirots, celts, pārvietots (izņemot </w:t>
      </w:r>
      <w:r w:rsidRPr="00F35A6C">
        <w:rPr>
          <w:rFonts w:ascii="Times New Roman" w:hAnsi="Times New Roman"/>
          <w:sz w:val="24"/>
        </w:rPr>
        <w:t>3.1</w:t>
      </w:r>
      <w:r w:rsidR="00666B86">
        <w:rPr>
          <w:rFonts w:ascii="Times New Roman" w:hAnsi="Times New Roman"/>
          <w:sz w:val="24"/>
        </w:rPr>
        <w:t>3</w:t>
      </w:r>
      <w:r w:rsidR="00F35A6C" w:rsidRPr="00F35A6C">
        <w:rPr>
          <w:rFonts w:ascii="Times New Roman" w:hAnsi="Times New Roman"/>
          <w:sz w:val="24"/>
        </w:rPr>
        <w:t>.</w:t>
      </w:r>
      <w:r w:rsidR="00666B86">
        <w:rPr>
          <w:rFonts w:ascii="Times New Roman" w:hAnsi="Times New Roman"/>
          <w:sz w:val="24"/>
        </w:rPr>
        <w:t>2</w:t>
      </w:r>
      <w:r w:rsidR="00F35A6C" w:rsidRPr="00F35A6C">
        <w:rPr>
          <w:rFonts w:ascii="Times New Roman" w:hAnsi="Times New Roman"/>
          <w:sz w:val="24"/>
        </w:rPr>
        <w:t xml:space="preserve">. </w:t>
      </w:r>
      <w:r w:rsidRPr="00F35A6C">
        <w:rPr>
          <w:rFonts w:ascii="Times New Roman" w:hAnsi="Times New Roman"/>
          <w:sz w:val="24"/>
        </w:rPr>
        <w:t>punktā atrunātos transportlīdzekļus</w:t>
      </w:r>
      <w:r>
        <w:rPr>
          <w:rFonts w:ascii="Times New Roman" w:eastAsia="Times New Roman" w:hAnsi="Times New Roman" w:cs="Times New Roman"/>
          <w:color w:val="000000"/>
          <w:sz w:val="24"/>
          <w:szCs w:val="24"/>
        </w:rPr>
        <w:t>, sagatavots uzglabāšanai, iepakots, uzglabāts vai arī tiks sniegts pakalpojums</w:t>
      </w:r>
      <w:r w:rsidR="00F35A6C">
        <w:rPr>
          <w:rFonts w:ascii="Times New Roman" w:eastAsia="Times New Roman" w:hAnsi="Times New Roman" w:cs="Times New Roman"/>
          <w:color w:val="000000"/>
          <w:sz w:val="24"/>
          <w:szCs w:val="24"/>
        </w:rPr>
        <w:t>,</w:t>
      </w:r>
    </w:p>
    <w:p w14:paraId="5CDC3C87" w14:textId="4D567BAA" w:rsidR="00C357C1" w:rsidRPr="00F35A6C" w:rsidRDefault="00666B86" w:rsidP="00666B86">
      <w:pPr>
        <w:pBdr>
          <w:top w:val="nil"/>
          <w:left w:val="nil"/>
          <w:bottom w:val="nil"/>
          <w:right w:val="nil"/>
          <w:between w:val="nil"/>
        </w:pBdr>
        <w:tabs>
          <w:tab w:val="left" w:pos="709"/>
          <w:tab w:val="left" w:pos="1418"/>
        </w:tabs>
        <w:spacing w:after="0" w:line="240" w:lineRule="auto"/>
        <w:ind w:leftChars="0" w:left="-2" w:firstLineChars="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3.13.3. </w:t>
      </w:r>
      <w:r w:rsidR="00C97953" w:rsidRPr="00F35A6C">
        <w:rPr>
          <w:rFonts w:ascii="Times New Roman" w:eastAsia="Times New Roman" w:hAnsi="Times New Roman" w:cs="Times New Roman"/>
          <w:color w:val="000000"/>
          <w:sz w:val="24"/>
          <w:szCs w:val="24"/>
        </w:rPr>
        <w:t xml:space="preserve">ražošanas vai pakalpojumu sniegšanas procesa nodrošināšanai nepieciešamas specifiskas </w:t>
      </w:r>
      <w:proofErr w:type="spellStart"/>
      <w:r w:rsidR="00C97953" w:rsidRPr="00F35A6C">
        <w:rPr>
          <w:rFonts w:ascii="Times New Roman" w:eastAsia="Times New Roman" w:hAnsi="Times New Roman" w:cs="Times New Roman"/>
          <w:color w:val="000000"/>
          <w:sz w:val="24"/>
          <w:szCs w:val="24"/>
        </w:rPr>
        <w:t>datorprogrammatūras</w:t>
      </w:r>
      <w:proofErr w:type="spellEnd"/>
      <w:r w:rsidR="00C97953" w:rsidRPr="00F35A6C">
        <w:rPr>
          <w:rFonts w:ascii="Times New Roman" w:eastAsia="Times New Roman" w:hAnsi="Times New Roman" w:cs="Times New Roman"/>
          <w:color w:val="000000"/>
          <w:sz w:val="24"/>
          <w:szCs w:val="24"/>
        </w:rPr>
        <w:t xml:space="preserve"> iegāde, </w:t>
      </w:r>
    </w:p>
    <w:p w14:paraId="080AFB7C" w14:textId="518A9A83" w:rsidR="00C357C1" w:rsidRDefault="00666B86" w:rsidP="00666B86">
      <w:pPr>
        <w:pBdr>
          <w:top w:val="nil"/>
          <w:left w:val="nil"/>
          <w:bottom w:val="nil"/>
          <w:right w:val="nil"/>
          <w:between w:val="nil"/>
        </w:pBdr>
        <w:tabs>
          <w:tab w:val="left" w:pos="709"/>
          <w:tab w:val="left" w:pos="1418"/>
        </w:tabs>
        <w:spacing w:after="0" w:line="240" w:lineRule="auto"/>
        <w:ind w:leftChars="0" w:left="-2" w:firstLineChars="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3.13.4. </w:t>
      </w:r>
      <w:r w:rsidR="00C97953">
        <w:rPr>
          <w:rFonts w:ascii="Times New Roman" w:eastAsia="Times New Roman" w:hAnsi="Times New Roman" w:cs="Times New Roman"/>
          <w:color w:val="000000"/>
          <w:sz w:val="24"/>
          <w:szCs w:val="24"/>
        </w:rPr>
        <w:t>biroja tehnikas iegāde, ja izmaksas nepārsniedz 10% no projekta kopējās summas, izņemot gadījumus, kad datortehnika nepieciešama ražošanas vai pakalpojumu sniegšanas procesa tehniskai nodrošināšanai,</w:t>
      </w:r>
      <w:r w:rsidR="009629FA">
        <w:rPr>
          <w:rFonts w:ascii="Times New Roman" w:eastAsia="Times New Roman" w:hAnsi="Times New Roman" w:cs="Times New Roman"/>
          <w:color w:val="000000"/>
          <w:sz w:val="24"/>
          <w:szCs w:val="24"/>
        </w:rPr>
        <w:t xml:space="preserve"> un tas ir pamatots projektā,</w:t>
      </w:r>
    </w:p>
    <w:p w14:paraId="285E81DD" w14:textId="62D647BA" w:rsidR="00C357C1" w:rsidRDefault="00666B86" w:rsidP="00666B86">
      <w:pPr>
        <w:pBdr>
          <w:top w:val="nil"/>
          <w:left w:val="nil"/>
          <w:bottom w:val="nil"/>
          <w:right w:val="nil"/>
          <w:between w:val="nil"/>
        </w:pBdr>
        <w:tabs>
          <w:tab w:val="left" w:pos="709"/>
          <w:tab w:val="left" w:pos="1418"/>
        </w:tabs>
        <w:spacing w:after="0" w:line="240" w:lineRule="auto"/>
        <w:ind w:leftChars="0" w:left="-2" w:firstLineChars="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3.13.5. </w:t>
      </w:r>
      <w:r w:rsidR="00C97953">
        <w:rPr>
          <w:rFonts w:ascii="Times New Roman" w:eastAsia="Times New Roman" w:hAnsi="Times New Roman" w:cs="Times New Roman"/>
          <w:color w:val="000000"/>
          <w:sz w:val="24"/>
          <w:szCs w:val="24"/>
        </w:rPr>
        <w:t>būvmateriāli ražošanas vai pakalpojumu sniegšanas telpu, norises vietas izveidei un/vai remontdarbiem,</w:t>
      </w:r>
    </w:p>
    <w:p w14:paraId="4CA8CF81" w14:textId="43565A62" w:rsidR="00C357C1" w:rsidRDefault="00666B86" w:rsidP="00666B86">
      <w:pPr>
        <w:pBdr>
          <w:top w:val="nil"/>
          <w:left w:val="nil"/>
          <w:bottom w:val="nil"/>
          <w:right w:val="nil"/>
          <w:between w:val="nil"/>
        </w:pBdr>
        <w:tabs>
          <w:tab w:val="left" w:pos="709"/>
          <w:tab w:val="left" w:pos="1418"/>
          <w:tab w:val="left" w:pos="1710"/>
        </w:tabs>
        <w:spacing w:after="0" w:line="240" w:lineRule="auto"/>
        <w:ind w:leftChars="0" w:left="-2" w:firstLineChars="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3.13.6. </w:t>
      </w:r>
      <w:r w:rsidR="00C97953">
        <w:rPr>
          <w:rFonts w:ascii="Times New Roman" w:eastAsia="Times New Roman" w:hAnsi="Times New Roman" w:cs="Times New Roman"/>
          <w:color w:val="000000"/>
          <w:sz w:val="24"/>
          <w:szCs w:val="24"/>
        </w:rPr>
        <w:t>PVN, ja atbalsta pretendents nav reģistrēts ar PVN apliekamo personu reģistrā.</w:t>
      </w:r>
    </w:p>
    <w:p w14:paraId="032D6800" w14:textId="77777777" w:rsidR="00C357C1" w:rsidRDefault="00C97953" w:rsidP="00D472FA">
      <w:pPr>
        <w:numPr>
          <w:ilvl w:val="1"/>
          <w:numId w:val="1"/>
        </w:numPr>
        <w:pBdr>
          <w:top w:val="nil"/>
          <w:left w:val="nil"/>
          <w:bottom w:val="nil"/>
          <w:right w:val="nil"/>
          <w:between w:val="nil"/>
        </w:pBdr>
        <w:tabs>
          <w:tab w:val="left" w:pos="709"/>
          <w:tab w:val="left" w:pos="851"/>
        </w:tabs>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color w:val="000000"/>
          <w:sz w:val="24"/>
          <w:szCs w:val="24"/>
        </w:rPr>
        <w:t>Neattiecināmās izmaksas:</w:t>
      </w:r>
    </w:p>
    <w:p w14:paraId="7FFB7D32" w14:textId="77777777" w:rsidR="00C357C1" w:rsidRDefault="00C97953" w:rsidP="00D472FA">
      <w:pPr>
        <w:numPr>
          <w:ilvl w:val="2"/>
          <w:numId w:val="1"/>
        </w:numPr>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transportlīdzekļu iegāde (mopēdi, motocikli, tricikli, kvadricikli, vieglās un kravas automašīnas, autobusi, izņemot to piekabes īpašumā vai nomā jau esošām transporta vienībām),</w:t>
      </w:r>
    </w:p>
    <w:p w14:paraId="6DFEE604" w14:textId="77777777" w:rsidR="00C357C1" w:rsidRDefault="00C97953" w:rsidP="00D472FA">
      <w:pPr>
        <w:numPr>
          <w:ilvl w:val="2"/>
          <w:numId w:val="1"/>
        </w:numPr>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standarta </w:t>
      </w:r>
      <w:proofErr w:type="spellStart"/>
      <w:r>
        <w:rPr>
          <w:rFonts w:ascii="Times New Roman" w:eastAsia="Times New Roman" w:hAnsi="Times New Roman" w:cs="Times New Roman"/>
          <w:color w:val="000000"/>
          <w:sz w:val="24"/>
          <w:szCs w:val="24"/>
        </w:rPr>
        <w:t>datorprogrammatūru</w:t>
      </w:r>
      <w:proofErr w:type="spellEnd"/>
      <w:r>
        <w:rPr>
          <w:rFonts w:ascii="Times New Roman" w:eastAsia="Times New Roman" w:hAnsi="Times New Roman" w:cs="Times New Roman"/>
          <w:color w:val="000000"/>
          <w:sz w:val="24"/>
          <w:szCs w:val="24"/>
        </w:rPr>
        <w:t xml:space="preserve"> iegāde (MS Windows OS, Microsoft Office, Tildes Birojs, antivīrusa programmas, u.tml.),</w:t>
      </w:r>
    </w:p>
    <w:p w14:paraId="66CB2C26" w14:textId="77777777" w:rsidR="00C357C1" w:rsidRDefault="00C97953" w:rsidP="00D472FA">
      <w:pPr>
        <w:numPr>
          <w:ilvl w:val="2"/>
          <w:numId w:val="1"/>
        </w:numPr>
        <w:pBdr>
          <w:top w:val="nil"/>
          <w:left w:val="nil"/>
          <w:bottom w:val="nil"/>
          <w:right w:val="nil"/>
          <w:between w:val="nil"/>
        </w:pBdr>
        <w:tabs>
          <w:tab w:val="left" w:pos="709"/>
          <w:tab w:val="left" w:pos="1530"/>
          <w:tab w:val="left" w:pos="156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projekta pieteikuma sagatavošanas un administrēšanas izmaksas,</w:t>
      </w:r>
    </w:p>
    <w:p w14:paraId="1B69A205" w14:textId="77777777" w:rsidR="00C357C1" w:rsidRDefault="00C97953" w:rsidP="00D472FA">
      <w:pPr>
        <w:numPr>
          <w:ilvl w:val="2"/>
          <w:numId w:val="1"/>
        </w:numPr>
        <w:pBdr>
          <w:top w:val="nil"/>
          <w:left w:val="nil"/>
          <w:bottom w:val="nil"/>
          <w:right w:val="nil"/>
          <w:between w:val="nil"/>
        </w:pBdr>
        <w:tabs>
          <w:tab w:val="left" w:pos="709"/>
          <w:tab w:val="left" w:pos="1701"/>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nodokļu (tai skaitā PVN, ja atbalsta pretendents ir reģistrēts ar PVN apliekamo personu reģistrā) un aizņēmumu procentu un pamatsummas maksājumi, izņemot muitas nodokli,</w:t>
      </w:r>
    </w:p>
    <w:p w14:paraId="3E796917" w14:textId="77777777" w:rsidR="00C357C1" w:rsidRDefault="00C97953" w:rsidP="00D472FA">
      <w:pPr>
        <w:numPr>
          <w:ilvl w:val="2"/>
          <w:numId w:val="1"/>
        </w:numPr>
        <w:tabs>
          <w:tab w:val="left" w:pos="0"/>
          <w:tab w:val="left" w:pos="709"/>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sz w:val="24"/>
          <w:szCs w:val="24"/>
        </w:rPr>
        <w:t>atbalsts netiek piešķirts izejvielu un/vai materiālu iegādei,</w:t>
      </w:r>
    </w:p>
    <w:p w14:paraId="52C177F0" w14:textId="670B72EC" w:rsidR="00C357C1" w:rsidRDefault="00C97953" w:rsidP="00D472FA">
      <w:pPr>
        <w:numPr>
          <w:ilvl w:val="2"/>
          <w:numId w:val="1"/>
        </w:numPr>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izmaksas, kas nav iekļautas apstiprinātajā projekta pieteikumā,</w:t>
      </w:r>
      <w:r w:rsidR="009629FA">
        <w:rPr>
          <w:rFonts w:ascii="Times New Roman" w:eastAsia="Times New Roman" w:hAnsi="Times New Roman" w:cs="Times New Roman"/>
          <w:color w:val="000000"/>
          <w:sz w:val="24"/>
          <w:szCs w:val="24"/>
        </w:rPr>
        <w:t xml:space="preserve"> izņemot projekta realizācijas gaitā radušās projekta līdzekļu ekonomijas izlietojumu.</w:t>
      </w:r>
      <w:r w:rsidRPr="00D472FA">
        <w:rPr>
          <w:rFonts w:ascii="Times New Roman" w:hAnsi="Times New Roman"/>
          <w:color w:val="000000"/>
          <w:sz w:val="24"/>
          <w:shd w:val="clear" w:color="auto" w:fill="FFE599"/>
        </w:rPr>
        <w:t xml:space="preserve"> </w:t>
      </w:r>
    </w:p>
    <w:p w14:paraId="63231132" w14:textId="74DFF970" w:rsidR="00C357C1" w:rsidRDefault="00C97953" w:rsidP="00D472FA">
      <w:pPr>
        <w:pBdr>
          <w:top w:val="nil"/>
          <w:left w:val="nil"/>
          <w:bottom w:val="nil"/>
          <w:right w:val="nil"/>
          <w:between w:val="nil"/>
        </w:pBdr>
        <w:tabs>
          <w:tab w:val="left" w:pos="709"/>
          <w:tab w:val="left" w:pos="1701"/>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3.1</w:t>
      </w:r>
      <w:r w:rsidR="00EC2F99">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color w:val="000000"/>
          <w:sz w:val="24"/>
          <w:szCs w:val="24"/>
        </w:rPr>
        <w:t xml:space="preserve">Konkursa rīkotājam ir tiesības samazināt izmaksājamo finansējumu vai tā daļu, </w:t>
      </w:r>
      <w:r>
        <w:rPr>
          <w:rFonts w:ascii="Times New Roman" w:eastAsia="Times New Roman" w:hAnsi="Times New Roman" w:cs="Times New Roman"/>
          <w:b/>
          <w:color w:val="000000"/>
          <w:sz w:val="24"/>
          <w:szCs w:val="24"/>
          <w:u w:val="single"/>
        </w:rPr>
        <w:t xml:space="preserve">saglabājot projekta pieteikumā apstiprināto </w:t>
      </w:r>
      <w:proofErr w:type="spellStart"/>
      <w:r>
        <w:rPr>
          <w:rFonts w:ascii="Times New Roman" w:eastAsia="Times New Roman" w:hAnsi="Times New Roman" w:cs="Times New Roman"/>
          <w:b/>
          <w:color w:val="000000"/>
          <w:sz w:val="24"/>
          <w:szCs w:val="24"/>
          <w:u w:val="single"/>
        </w:rPr>
        <w:t>granta</w:t>
      </w:r>
      <w:proofErr w:type="spellEnd"/>
      <w:r>
        <w:rPr>
          <w:rFonts w:ascii="Times New Roman" w:eastAsia="Times New Roman" w:hAnsi="Times New Roman" w:cs="Times New Roman"/>
          <w:b/>
          <w:color w:val="000000"/>
          <w:sz w:val="24"/>
          <w:szCs w:val="24"/>
          <w:u w:val="single"/>
        </w:rPr>
        <w:t xml:space="preserve"> un līdzfinansējuma procentuālo attiecību,</w:t>
      </w:r>
      <w:r>
        <w:rPr>
          <w:rFonts w:ascii="Times New Roman" w:eastAsia="Times New Roman" w:hAnsi="Times New Roman" w:cs="Times New Roman"/>
          <w:b/>
          <w:color w:val="000000"/>
          <w:sz w:val="24"/>
          <w:szCs w:val="24"/>
        </w:rPr>
        <w:t xml:space="preserve"> ja:</w:t>
      </w:r>
    </w:p>
    <w:p w14:paraId="5357914A" w14:textId="4540B282" w:rsidR="00C357C1" w:rsidRDefault="00C97953" w:rsidP="00D472FA">
      <w:pPr>
        <w:pBdr>
          <w:top w:val="nil"/>
          <w:left w:val="nil"/>
          <w:bottom w:val="nil"/>
          <w:right w:val="nil"/>
          <w:between w:val="nil"/>
        </w:pBdr>
        <w:tabs>
          <w:tab w:val="left" w:pos="709"/>
          <w:tab w:val="left" w:pos="1701"/>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EC2F9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.1.finansējuma saņēmēja iesniegtajos projekta pieteikuma dokumentos iekļautās summas nepamatoti pārsniedz tirgus cenas,</w:t>
      </w:r>
    </w:p>
    <w:p w14:paraId="616DB3D3" w14:textId="5A4633B5" w:rsidR="00C357C1" w:rsidRDefault="00C97953" w:rsidP="00D472FA">
      <w:pPr>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EC2F9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.2. finansējuma saņēmējs ir izlietojis mazāku finanšu līdzekļu apjomu, nekā paredzēts Konkursa pieteikuma tāmē. </w:t>
      </w:r>
    </w:p>
    <w:p w14:paraId="48988DBA" w14:textId="464C65CF" w:rsidR="00C357C1" w:rsidRDefault="00C97953" w:rsidP="00D472FA">
      <w:pPr>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EC2F9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.3.finansējuma saņēmējs vēlas īstenot darbību, kas neatbilst projekta mērķim un esošajām darbībām. </w:t>
      </w:r>
    </w:p>
    <w:p w14:paraId="1F81FDE0" w14:textId="31E05C66" w:rsidR="00C357C1" w:rsidRDefault="00C97953" w:rsidP="00D472FA">
      <w:pPr>
        <w:pBdr>
          <w:top w:val="nil"/>
          <w:left w:val="nil"/>
          <w:bottom w:val="nil"/>
          <w:right w:val="nil"/>
          <w:between w:val="nil"/>
        </w:pBdr>
        <w:spacing w:after="0" w:line="240" w:lineRule="auto"/>
        <w:ind w:left="0" w:right="1559"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w:t>
      </w:r>
      <w:r w:rsidR="00EC2F99">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color w:val="000000"/>
          <w:sz w:val="24"/>
          <w:szCs w:val="24"/>
        </w:rPr>
        <w:t>Konkursa rīkotājam ir tiesības neizmaksāt finansējumu vai tā daļu,</w:t>
      </w:r>
      <w:r>
        <w:t xml:space="preserve">  </w:t>
      </w:r>
      <w:r>
        <w:rPr>
          <w:rFonts w:ascii="Times New Roman" w:eastAsia="Times New Roman" w:hAnsi="Times New Roman" w:cs="Times New Roman"/>
          <w:b/>
          <w:color w:val="000000"/>
          <w:sz w:val="24"/>
          <w:szCs w:val="24"/>
        </w:rPr>
        <w:t>liekot atgriezt arī jau izmaksātos līdzekļus, ja finansējuma saņēmējs:</w:t>
      </w:r>
    </w:p>
    <w:p w14:paraId="58F54407" w14:textId="2378D335" w:rsidR="00C357C1" w:rsidRDefault="00C97953">
      <w:pPr>
        <w:pBdr>
          <w:top w:val="nil"/>
          <w:left w:val="nil"/>
          <w:bottom w:val="nil"/>
          <w:right w:val="nil"/>
          <w:between w:val="nil"/>
        </w:pBdr>
        <w:tabs>
          <w:tab w:val="left" w:pos="0"/>
          <w:tab w:val="left" w:pos="709"/>
          <w:tab w:val="left" w:pos="127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w:t>
      </w:r>
      <w:r w:rsidR="00EC2F9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.1. jebkādā veidā ir maldinājis Konkursa rīkotāju,</w:t>
      </w:r>
    </w:p>
    <w:p w14:paraId="543FAF96" w14:textId="0153C0AE" w:rsidR="00C357C1" w:rsidRDefault="00C97953">
      <w:pPr>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EC2F9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.2. nav iesniedzis visu pieprasīto informāciju vai dokumentus, </w:t>
      </w:r>
    </w:p>
    <w:p w14:paraId="2A3FEEAD" w14:textId="5A4252AD" w:rsidR="00C357C1" w:rsidRDefault="00C97953" w:rsidP="00D472FA">
      <w:pPr>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EC2F9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.3. neievēro noslēgtā līguma par finansējuma piešķiršanu nosacījumus.</w:t>
      </w:r>
    </w:p>
    <w:p w14:paraId="71B42CE0" w14:textId="77777777" w:rsidR="00C357C1" w:rsidRDefault="00C357C1" w:rsidP="00D472FA">
      <w:pPr>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sz w:val="24"/>
          <w:szCs w:val="24"/>
        </w:rPr>
      </w:pPr>
    </w:p>
    <w:p w14:paraId="6B48B01F" w14:textId="77777777" w:rsidR="00C357C1" w:rsidRDefault="00C97953" w:rsidP="00D472FA">
      <w:pPr>
        <w:numPr>
          <w:ilvl w:val="0"/>
          <w:numId w:val="1"/>
        </w:numPr>
        <w:pBdr>
          <w:top w:val="nil"/>
          <w:left w:val="nil"/>
          <w:bottom w:val="nil"/>
          <w:right w:val="nil"/>
          <w:between w:val="nil"/>
        </w:pBdr>
        <w:tabs>
          <w:tab w:val="left" w:pos="284"/>
          <w:tab w:val="left" w:pos="127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PROJEKTA PIETEIKUMA IESNIEGŠANAS KĀRTĪBA</w:t>
      </w:r>
    </w:p>
    <w:p w14:paraId="5E99916B" w14:textId="77777777" w:rsidR="00C357C1" w:rsidRDefault="00C357C1">
      <w:pPr>
        <w:pBdr>
          <w:top w:val="nil"/>
          <w:left w:val="nil"/>
          <w:bottom w:val="nil"/>
          <w:right w:val="nil"/>
          <w:between w:val="nil"/>
        </w:pBdr>
        <w:tabs>
          <w:tab w:val="left" w:pos="284"/>
          <w:tab w:val="left" w:pos="1276"/>
        </w:tabs>
        <w:spacing w:after="0" w:line="240" w:lineRule="auto"/>
        <w:ind w:left="0" w:hanging="2"/>
        <w:rPr>
          <w:rFonts w:ascii="Times New Roman" w:eastAsia="Times New Roman" w:hAnsi="Times New Roman" w:cs="Times New Roman"/>
          <w:color w:val="000000"/>
          <w:sz w:val="24"/>
          <w:szCs w:val="24"/>
        </w:rPr>
      </w:pPr>
    </w:p>
    <w:p w14:paraId="446C9A80" w14:textId="297F0F8A" w:rsidR="00C357C1" w:rsidRDefault="002D3F22" w:rsidP="002D3F22">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4.1. </w:t>
      </w:r>
      <w:r w:rsidR="00C97953">
        <w:rPr>
          <w:rFonts w:ascii="Times New Roman" w:eastAsia="Times New Roman" w:hAnsi="Times New Roman" w:cs="Times New Roman"/>
          <w:color w:val="000000"/>
          <w:sz w:val="24"/>
          <w:szCs w:val="24"/>
        </w:rPr>
        <w:t xml:space="preserve">Projektu konkursa nolikums un pieteikuma veidlapas ir pieejamas Rēzeknes novada pašvaldības mājas lapā </w:t>
      </w:r>
      <w:hyperlink r:id="rId14">
        <w:r w:rsidR="00C97953">
          <w:rPr>
            <w:rFonts w:ascii="Times New Roman" w:eastAsia="Times New Roman" w:hAnsi="Times New Roman" w:cs="Times New Roman"/>
            <w:color w:val="000000"/>
            <w:sz w:val="24"/>
            <w:szCs w:val="24"/>
            <w:u w:val="single"/>
          </w:rPr>
          <w:t>www.rezeknesnovads.lv</w:t>
        </w:r>
      </w:hyperlink>
      <w:r w:rsidR="00C97953">
        <w:rPr>
          <w:rFonts w:ascii="Times New Roman" w:eastAsia="Times New Roman" w:hAnsi="Times New Roman" w:cs="Times New Roman"/>
          <w:color w:val="000000"/>
          <w:sz w:val="24"/>
          <w:szCs w:val="24"/>
        </w:rPr>
        <w:t>.</w:t>
      </w:r>
    </w:p>
    <w:p w14:paraId="156FF82B" w14:textId="73A050B2" w:rsidR="00C357C1" w:rsidRDefault="002D3F22" w:rsidP="002D3F22">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rPr>
      </w:pPr>
      <w:r>
        <w:rPr>
          <w:rFonts w:ascii="Times New Roman" w:eastAsia="Times New Roman" w:hAnsi="Times New Roman" w:cs="Times New Roman"/>
          <w:color w:val="000000"/>
          <w:sz w:val="24"/>
          <w:szCs w:val="24"/>
        </w:rPr>
        <w:t>4.2.</w:t>
      </w:r>
      <w:r w:rsidR="00C97953">
        <w:rPr>
          <w:rFonts w:ascii="Times New Roman" w:eastAsia="Times New Roman" w:hAnsi="Times New Roman" w:cs="Times New Roman"/>
          <w:color w:val="000000"/>
          <w:sz w:val="24"/>
          <w:szCs w:val="24"/>
        </w:rPr>
        <w:t xml:space="preserve">Projekta pieteikums sastāv no aizpildītas projekta pieteikuma veidlapas, naudas plūsmas </w:t>
      </w:r>
      <w:r w:rsidR="00C97953">
        <w:rPr>
          <w:rFonts w:ascii="Times New Roman" w:eastAsia="Times New Roman" w:hAnsi="Times New Roman" w:cs="Times New Roman"/>
          <w:sz w:val="24"/>
          <w:szCs w:val="24"/>
        </w:rPr>
        <w:t>pārskata dokumenta</w:t>
      </w:r>
      <w:r w:rsidR="00C97953" w:rsidRPr="00D472FA">
        <w:rPr>
          <w:rFonts w:ascii="Times New Roman" w:hAnsi="Times New Roman"/>
          <w:sz w:val="24"/>
        </w:rPr>
        <w:t xml:space="preserve"> </w:t>
      </w:r>
      <w:r w:rsidR="00C97953">
        <w:rPr>
          <w:rFonts w:ascii="Times New Roman" w:eastAsia="Times New Roman" w:hAnsi="Times New Roman" w:cs="Times New Roman"/>
          <w:color w:val="000000"/>
          <w:sz w:val="24"/>
          <w:szCs w:val="24"/>
        </w:rPr>
        <w:t xml:space="preserve">un pavaddokumentiem. </w:t>
      </w:r>
    </w:p>
    <w:p w14:paraId="03905108" w14:textId="50C8BB53" w:rsidR="00C357C1" w:rsidRPr="002D3F22" w:rsidRDefault="00C97953" w:rsidP="002D3F22">
      <w:pPr>
        <w:pStyle w:val="ListParagraph"/>
        <w:numPr>
          <w:ilvl w:val="1"/>
          <w:numId w:val="5"/>
        </w:numPr>
        <w:pBdr>
          <w:top w:val="nil"/>
          <w:left w:val="nil"/>
          <w:bottom w:val="nil"/>
          <w:right w:val="nil"/>
          <w:between w:val="nil"/>
        </w:pBdr>
        <w:spacing w:after="0" w:line="240" w:lineRule="auto"/>
        <w:ind w:leftChars="0" w:left="426" w:firstLineChars="0" w:hanging="426"/>
        <w:jc w:val="both"/>
        <w:rPr>
          <w:rFonts w:ascii="Times New Roman" w:eastAsia="Times New Roman" w:hAnsi="Times New Roman" w:cs="Times New Roman"/>
          <w:b/>
        </w:rPr>
      </w:pPr>
      <w:r w:rsidRPr="002D3F22">
        <w:rPr>
          <w:rFonts w:ascii="Times New Roman" w:eastAsia="Times New Roman" w:hAnsi="Times New Roman" w:cs="Times New Roman"/>
          <w:b/>
          <w:color w:val="000000"/>
          <w:sz w:val="24"/>
          <w:szCs w:val="24"/>
        </w:rPr>
        <w:t>Projekta pieteikuma pavaddokumenti:</w:t>
      </w:r>
    </w:p>
    <w:p w14:paraId="5281575A" w14:textId="77777777" w:rsidR="00C357C1" w:rsidRDefault="00C97953" w:rsidP="002D3F22">
      <w:pPr>
        <w:numPr>
          <w:ilvl w:val="2"/>
          <w:numId w:val="5"/>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atbalsta pretendenta atbildīgās personas biogrāfijas apraksts (CV),</w:t>
      </w:r>
    </w:p>
    <w:p w14:paraId="4701016B" w14:textId="46E20901" w:rsidR="00C357C1" w:rsidRDefault="00C97953" w:rsidP="002D3F22">
      <w:pPr>
        <w:numPr>
          <w:ilvl w:val="2"/>
          <w:numId w:val="5"/>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atbalsta pretendenta operatīvās darbības finanšu rādītāji par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gadu, vai uzņēmuma gada pārskats par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gadu. </w:t>
      </w:r>
    </w:p>
    <w:p w14:paraId="0CA04B07" w14:textId="77777777" w:rsidR="00C357C1" w:rsidRDefault="00C97953" w:rsidP="002D3F22">
      <w:pPr>
        <w:numPr>
          <w:ilvl w:val="2"/>
          <w:numId w:val="5"/>
        </w:num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piedāvājumu kopijas vai izdrukas no interneta par plānotajām iegādēm pēc tirgus izpētes, kas sevī iekļauj vismaz 2 tirgotāju cenu izpēti, </w:t>
      </w:r>
    </w:p>
    <w:p w14:paraId="7C6B0742" w14:textId="77777777" w:rsidR="00C357C1" w:rsidRDefault="00C97953" w:rsidP="002D3F22">
      <w:pPr>
        <w:numPr>
          <w:ilvl w:val="2"/>
          <w:numId w:val="5"/>
        </w:num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būvmateriālu iegādes tāme, ja projektā paredzēts veikt ražošanas/pakalpojumu sniegšanas telpu/vietas izveidi vai remontu (2.pielikums),  </w:t>
      </w:r>
    </w:p>
    <w:p w14:paraId="31026643" w14:textId="77777777" w:rsidR="00C357C1" w:rsidRDefault="00C97953" w:rsidP="002D3F22">
      <w:pPr>
        <w:numPr>
          <w:ilvl w:val="2"/>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dokumentus, kas apliecina īpašuma vai nomas tiesības </w:t>
      </w:r>
      <w:r>
        <w:rPr>
          <w:rFonts w:ascii="Times New Roman" w:eastAsia="Times New Roman" w:hAnsi="Times New Roman" w:cs="Times New Roman"/>
          <w:sz w:val="24"/>
          <w:szCs w:val="24"/>
        </w:rPr>
        <w:t>nekustamajam īpašumam, kurā tiks realizēts projekts,</w:t>
      </w:r>
    </w:p>
    <w:p w14:paraId="4419F8C6" w14:textId="77777777" w:rsidR="00C357C1" w:rsidRDefault="00C97953" w:rsidP="002D3F22">
      <w:pPr>
        <w:numPr>
          <w:ilvl w:val="2"/>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tiek paredzēta citu pakalpojumu un produktu piedāvājumu attīstība, jāiesniedz sadarbības protokols/līgums,</w:t>
      </w:r>
    </w:p>
    <w:p w14:paraId="33699501" w14:textId="68804E7E" w:rsidR="00C357C1" w:rsidRDefault="00C97953" w:rsidP="002D3F22">
      <w:pPr>
        <w:numPr>
          <w:ilvl w:val="2"/>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bookmarkStart w:id="10" w:name="_heading=h.1fob9te" w:colFirst="0" w:colLast="0"/>
      <w:bookmarkEnd w:id="10"/>
      <w:r>
        <w:rPr>
          <w:rFonts w:ascii="Times New Roman" w:eastAsia="Times New Roman" w:hAnsi="Times New Roman" w:cs="Times New Roman"/>
          <w:sz w:val="24"/>
          <w:szCs w:val="24"/>
        </w:rPr>
        <w:t xml:space="preserve">projekta pieteikumā norāda </w:t>
      </w:r>
      <w:proofErr w:type="spellStart"/>
      <w:r>
        <w:rPr>
          <w:rFonts w:ascii="Times New Roman" w:eastAsia="Times New Roman" w:hAnsi="Times New Roman" w:cs="Times New Roman"/>
          <w:i/>
          <w:sz w:val="24"/>
          <w:szCs w:val="24"/>
        </w:rPr>
        <w:t>de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minimis</w:t>
      </w:r>
      <w:proofErr w:type="spellEnd"/>
      <w:r>
        <w:rPr>
          <w:rFonts w:ascii="Times New Roman" w:eastAsia="Times New Roman" w:hAnsi="Times New Roman" w:cs="Times New Roman"/>
          <w:sz w:val="24"/>
          <w:szCs w:val="24"/>
        </w:rPr>
        <w:t xml:space="preserve"> atbalsta uzskaites sistēmā sagatavotās veidlapas identifikācijas numuru vai iesniedz tās izdruku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formātā), kā noteikts Ministru kabineta 2018.gada 21.novembra noteikumu Nr.715 “Noteikumi par </w:t>
      </w:r>
      <w:proofErr w:type="spellStart"/>
      <w:r>
        <w:rPr>
          <w:rFonts w:ascii="Times New Roman" w:eastAsia="Times New Roman" w:hAnsi="Times New Roman" w:cs="Times New Roman"/>
          <w:i/>
          <w:sz w:val="24"/>
          <w:szCs w:val="24"/>
        </w:rPr>
        <w:t>de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minimis</w:t>
      </w:r>
      <w:proofErr w:type="spellEnd"/>
      <w:r>
        <w:rPr>
          <w:rFonts w:ascii="Times New Roman" w:eastAsia="Times New Roman" w:hAnsi="Times New Roman" w:cs="Times New Roman"/>
          <w:sz w:val="24"/>
          <w:szCs w:val="24"/>
        </w:rPr>
        <w:t xml:space="preserve"> atbalsta uzskaites un piešķiršanas kārtību un </w:t>
      </w:r>
      <w:proofErr w:type="spellStart"/>
      <w:r>
        <w:rPr>
          <w:rFonts w:ascii="Times New Roman" w:eastAsia="Times New Roman" w:hAnsi="Times New Roman" w:cs="Times New Roman"/>
          <w:i/>
          <w:sz w:val="24"/>
          <w:szCs w:val="24"/>
        </w:rPr>
        <w:t>de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minimis</w:t>
      </w:r>
      <w:proofErr w:type="spellEnd"/>
      <w:r>
        <w:rPr>
          <w:rFonts w:ascii="Times New Roman" w:eastAsia="Times New Roman" w:hAnsi="Times New Roman" w:cs="Times New Roman"/>
          <w:sz w:val="24"/>
          <w:szCs w:val="24"/>
        </w:rPr>
        <w:t xml:space="preserve"> atbalsta uzskaites veidlapu paraugiem” 21.punktā.</w:t>
      </w:r>
    </w:p>
    <w:p w14:paraId="74860F5E" w14:textId="77777777" w:rsidR="00C357C1" w:rsidRDefault="00C97953" w:rsidP="002D3F22">
      <w:pPr>
        <w:numPr>
          <w:ilvl w:val="1"/>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sz w:val="24"/>
          <w:szCs w:val="24"/>
        </w:rPr>
        <w:t>Projekta pieteikumu paraksta atbalsta pretendenta atbildīgā (</w:t>
      </w:r>
      <w:proofErr w:type="spellStart"/>
      <w:r>
        <w:rPr>
          <w:rFonts w:ascii="Times New Roman" w:eastAsia="Times New Roman" w:hAnsi="Times New Roman" w:cs="Times New Roman"/>
          <w:color w:val="000000"/>
          <w:sz w:val="24"/>
          <w:szCs w:val="24"/>
        </w:rPr>
        <w:t>paraksttiesīgā</w:t>
      </w:r>
      <w:proofErr w:type="spellEnd"/>
      <w:r>
        <w:rPr>
          <w:rFonts w:ascii="Times New Roman" w:eastAsia="Times New Roman" w:hAnsi="Times New Roman" w:cs="Times New Roman"/>
          <w:color w:val="000000"/>
          <w:sz w:val="24"/>
          <w:szCs w:val="24"/>
        </w:rPr>
        <w:t>) persona.</w:t>
      </w:r>
    </w:p>
    <w:p w14:paraId="56087857" w14:textId="25899125" w:rsidR="00C357C1" w:rsidRDefault="00C97953" w:rsidP="002D3F22">
      <w:pPr>
        <w:numPr>
          <w:ilvl w:val="1"/>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Aizpildītu projekta pieteikuma veidlapu kopā ar pavaddokumentiem 2 (divos) eksemplāros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1 (viens) oriģināls un 1(viena) kopija) pretendents, atbilstoši projektu konkursa izsludināšanas paziņojumā norādītajiem datumiem, iesniedz personīgi </w:t>
      </w:r>
      <w:r>
        <w:rPr>
          <w:rFonts w:ascii="Times New Roman" w:eastAsia="Times New Roman" w:hAnsi="Times New Roman" w:cs="Times New Roman"/>
          <w:sz w:val="24"/>
          <w:szCs w:val="24"/>
        </w:rPr>
        <w:t>Rēzeknes novada pašvaldībā, Atbrīvošanas alejā 95A (pēc iepriekšēja datuma un laika saskaņošanas ar 4.7. punktā minēto projekta kontaktpersonu) vai elektroniski vienā eksemplārā, parakstot ar drošu elektronisko parakstu (</w:t>
      </w:r>
      <w:proofErr w:type="spellStart"/>
      <w:r>
        <w:rPr>
          <w:rFonts w:ascii="Times New Roman" w:eastAsia="Times New Roman" w:hAnsi="Times New Roman" w:cs="Times New Roman"/>
          <w:sz w:val="24"/>
          <w:szCs w:val="24"/>
        </w:rPr>
        <w:t>eParaksts</w:t>
      </w:r>
      <w:proofErr w:type="spellEnd"/>
      <w:r>
        <w:rPr>
          <w:rFonts w:ascii="Times New Roman" w:eastAsia="Times New Roman" w:hAnsi="Times New Roman" w:cs="Times New Roman"/>
          <w:sz w:val="24"/>
          <w:szCs w:val="24"/>
        </w:rPr>
        <w:t>) un nosūtot uz e-pastu:</w:t>
      </w:r>
      <w:r>
        <w:rPr>
          <w:rFonts w:ascii="Times New Roman" w:eastAsia="Times New Roman" w:hAnsi="Times New Roman" w:cs="Times New Roman"/>
        </w:rPr>
        <w:t xml:space="preserve"> </w:t>
      </w:r>
      <w:hyperlink r:id="rId15">
        <w:r>
          <w:rPr>
            <w:rFonts w:ascii="Times New Roman" w:eastAsia="Times New Roman" w:hAnsi="Times New Roman" w:cs="Times New Roman"/>
            <w:color w:val="0000FF"/>
            <w:sz w:val="24"/>
            <w:szCs w:val="24"/>
            <w:u w:val="single"/>
          </w:rPr>
          <w:t>info@rezeknesnovads.lv</w:t>
        </w:r>
      </w:hyperlink>
      <w:r>
        <w:rPr>
          <w:rFonts w:ascii="Times New Roman" w:eastAsia="Times New Roman" w:hAnsi="Times New Roman" w:cs="Times New Roman"/>
          <w:color w:val="0000FF"/>
          <w:sz w:val="24"/>
          <w:szCs w:val="24"/>
          <w:u w:val="single"/>
        </w:rPr>
        <w:t>.</w:t>
      </w:r>
      <w:r>
        <w:rPr>
          <w:rFonts w:ascii="Times New Roman" w:eastAsia="Times New Roman" w:hAnsi="Times New Roman" w:cs="Times New Roman"/>
          <w:sz w:val="24"/>
          <w:szCs w:val="24"/>
        </w:rPr>
        <w:t xml:space="preserve"> </w:t>
      </w:r>
    </w:p>
    <w:p w14:paraId="1DFD90BA" w14:textId="77777777" w:rsidR="00C357C1" w:rsidRDefault="00C97953" w:rsidP="002D3F22">
      <w:pPr>
        <w:numPr>
          <w:ilvl w:val="1"/>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sz w:val="24"/>
          <w:szCs w:val="24"/>
        </w:rPr>
        <w:t>Iesniegtie dokumenti atpakaļ netiek izsniegti.</w:t>
      </w:r>
    </w:p>
    <w:p w14:paraId="3430AE6A" w14:textId="0518AC56" w:rsidR="00C357C1" w:rsidRPr="009629FA" w:rsidRDefault="00C97953" w:rsidP="002D3F22">
      <w:pPr>
        <w:numPr>
          <w:ilvl w:val="1"/>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Projektu konkursa kontaktpersona (darba dienās no plkst.8.00 līdz plkst.16.30): </w:t>
      </w:r>
      <w:r w:rsidR="009629FA">
        <w:rPr>
          <w:rFonts w:ascii="Times New Roman" w:eastAsia="Times New Roman" w:hAnsi="Times New Roman" w:cs="Times New Roman"/>
          <w:sz w:val="24"/>
          <w:szCs w:val="24"/>
        </w:rPr>
        <w:t xml:space="preserve">Evita Igaune, </w:t>
      </w:r>
      <w:hyperlink r:id="rId16" w:history="1">
        <w:r w:rsidR="009629FA" w:rsidRPr="00F77FAA">
          <w:rPr>
            <w:rStyle w:val="Hyperlink"/>
            <w:rFonts w:ascii="Times New Roman" w:eastAsia="Times New Roman" w:hAnsi="Times New Roman" w:cs="Times New Roman"/>
            <w:sz w:val="24"/>
            <w:szCs w:val="24"/>
          </w:rPr>
          <w:t>evita.igaune@rezeknesnovads.lv</w:t>
        </w:r>
      </w:hyperlink>
      <w:r w:rsidR="009629FA">
        <w:rPr>
          <w:rFonts w:ascii="Times New Roman" w:eastAsia="Times New Roman" w:hAnsi="Times New Roman" w:cs="Times New Roman"/>
          <w:sz w:val="24"/>
          <w:szCs w:val="24"/>
        </w:rPr>
        <w:t>, tel. nr. 25748078</w:t>
      </w:r>
    </w:p>
    <w:p w14:paraId="4A9FE190" w14:textId="77777777" w:rsidR="00C357C1" w:rsidRDefault="00C97953" w:rsidP="00AC53EA">
      <w:pPr>
        <w:numPr>
          <w:ilvl w:val="0"/>
          <w:numId w:val="5"/>
        </w:numPr>
        <w:pBdr>
          <w:top w:val="nil"/>
          <w:left w:val="nil"/>
          <w:bottom w:val="nil"/>
          <w:right w:val="nil"/>
          <w:between w:val="nil"/>
        </w:pBdr>
        <w:spacing w:before="240" w:after="0" w:line="240" w:lineRule="auto"/>
        <w:ind w:leftChars="514" w:left="1133"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ADMINISTRATĪVIE VĒRTĒŠANAS KRITĒRIJI</w:t>
      </w:r>
    </w:p>
    <w:p w14:paraId="131FE23F" w14:textId="61A8C352" w:rsidR="00C357C1" w:rsidRPr="00AC53EA" w:rsidRDefault="00C97953" w:rsidP="00AC53EA">
      <w:pPr>
        <w:pStyle w:val="ListParagraph"/>
        <w:numPr>
          <w:ilvl w:val="1"/>
          <w:numId w:val="6"/>
        </w:numPr>
        <w:pBdr>
          <w:top w:val="nil"/>
          <w:left w:val="nil"/>
          <w:bottom w:val="nil"/>
          <w:right w:val="nil"/>
          <w:between w:val="nil"/>
        </w:pBdr>
        <w:spacing w:after="0" w:line="240" w:lineRule="auto"/>
        <w:ind w:leftChars="0" w:left="284" w:firstLineChars="0" w:hanging="284"/>
        <w:jc w:val="both"/>
        <w:rPr>
          <w:rFonts w:ascii="Times New Roman" w:eastAsia="Times New Roman" w:hAnsi="Times New Roman" w:cs="Times New Roman"/>
          <w:color w:val="000000"/>
          <w:sz w:val="24"/>
          <w:szCs w:val="24"/>
        </w:rPr>
      </w:pPr>
      <w:r w:rsidRPr="00AC53EA">
        <w:rPr>
          <w:rFonts w:ascii="Times New Roman" w:eastAsia="Times New Roman" w:hAnsi="Times New Roman" w:cs="Times New Roman"/>
          <w:color w:val="000000"/>
          <w:sz w:val="24"/>
          <w:szCs w:val="24"/>
        </w:rPr>
        <w:t>Projekts atbilst konkursa izvirzītajam mērķim (1.4. punkts).</w:t>
      </w:r>
    </w:p>
    <w:p w14:paraId="493751FE" w14:textId="77777777" w:rsidR="00C357C1" w:rsidRDefault="00C97953" w:rsidP="00AC53EA">
      <w:pPr>
        <w:numPr>
          <w:ilvl w:val="1"/>
          <w:numId w:val="6"/>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Projekta pieteikuma veidlapa sagatavota un iesniegta </w:t>
      </w:r>
      <w:proofErr w:type="spellStart"/>
      <w:r>
        <w:rPr>
          <w:rFonts w:ascii="Times New Roman" w:eastAsia="Times New Roman" w:hAnsi="Times New Roman" w:cs="Times New Roman"/>
          <w:color w:val="000000"/>
          <w:sz w:val="24"/>
          <w:szCs w:val="24"/>
        </w:rPr>
        <w:t>datorsalikumā</w:t>
      </w:r>
      <w:proofErr w:type="spellEnd"/>
      <w:r>
        <w:rPr>
          <w:rFonts w:ascii="Times New Roman" w:eastAsia="Times New Roman" w:hAnsi="Times New Roman" w:cs="Times New Roman"/>
          <w:color w:val="000000"/>
          <w:sz w:val="24"/>
          <w:szCs w:val="24"/>
        </w:rPr>
        <w:t>, latviešu valodā atbilstoši konkursa nolikuma prasībām.</w:t>
      </w:r>
    </w:p>
    <w:p w14:paraId="6A516592" w14:textId="77777777" w:rsidR="00C357C1" w:rsidRDefault="00C97953" w:rsidP="00AC53EA">
      <w:pPr>
        <w:numPr>
          <w:ilvl w:val="1"/>
          <w:numId w:val="6"/>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Iesniegti visi attiecināmie pavaddokumenti saskaņā ar šī nolikuma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.sadaļu. </w:t>
      </w:r>
    </w:p>
    <w:p w14:paraId="4FB28C3F" w14:textId="77777777" w:rsidR="00C357C1" w:rsidRDefault="00C97953" w:rsidP="00AC53EA">
      <w:pPr>
        <w:numPr>
          <w:ilvl w:val="1"/>
          <w:numId w:val="6"/>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sz w:val="24"/>
          <w:szCs w:val="24"/>
        </w:rPr>
        <w:t>Paredzamā naudas plūsma sagatavota aritmētiski pareizi, nav aritmētisku kļūdu, procentuālā finansējuma attiecība izrēķināta pareizi.</w:t>
      </w:r>
    </w:p>
    <w:p w14:paraId="0FBB308B" w14:textId="597EACA7" w:rsidR="00C357C1" w:rsidRPr="00D472FA" w:rsidRDefault="00C97953" w:rsidP="00AC53EA">
      <w:pPr>
        <w:numPr>
          <w:ilvl w:val="1"/>
          <w:numId w:val="6"/>
        </w:numPr>
        <w:pBdr>
          <w:top w:val="nil"/>
          <w:left w:val="nil"/>
          <w:bottom w:val="nil"/>
          <w:right w:val="nil"/>
          <w:between w:val="nil"/>
        </w:pBdr>
        <w:spacing w:after="0" w:line="240" w:lineRule="auto"/>
        <w:ind w:left="0" w:hanging="2"/>
        <w:rPr>
          <w:rFonts w:ascii="Times New Roman" w:hAnsi="Times New Roman"/>
          <w:color w:val="000000"/>
        </w:rPr>
      </w:pPr>
      <w:r>
        <w:rPr>
          <w:rFonts w:ascii="Times New Roman" w:eastAsia="Times New Roman" w:hAnsi="Times New Roman" w:cs="Times New Roman"/>
          <w:color w:val="000000"/>
          <w:sz w:val="24"/>
          <w:szCs w:val="24"/>
        </w:rPr>
        <w:t xml:space="preserve">  </w:t>
      </w:r>
      <w:r w:rsidRPr="001276A3">
        <w:rPr>
          <w:rFonts w:ascii="Times New Roman" w:eastAsia="Times New Roman" w:hAnsi="Times New Roman" w:cs="Times New Roman"/>
          <w:color w:val="000000"/>
          <w:sz w:val="24"/>
          <w:szCs w:val="24"/>
        </w:rPr>
        <w:t>Pretendenta līdzfinansējuma daļa ir</w:t>
      </w:r>
      <w:r w:rsidR="009629FA">
        <w:rPr>
          <w:rFonts w:ascii="Times New Roman" w:eastAsia="Times New Roman" w:hAnsi="Times New Roman" w:cs="Times New Roman"/>
          <w:color w:val="000000"/>
          <w:sz w:val="24"/>
          <w:szCs w:val="24"/>
        </w:rPr>
        <w:t xml:space="preserve"> 10%</w:t>
      </w:r>
      <w:r w:rsidRPr="001276A3">
        <w:rPr>
          <w:rFonts w:ascii="Times New Roman" w:eastAsia="Times New Roman" w:hAnsi="Times New Roman" w:cs="Times New Roman"/>
          <w:color w:val="000000"/>
          <w:sz w:val="24"/>
          <w:szCs w:val="24"/>
        </w:rPr>
        <w:t xml:space="preserve"> procenti no projekta kopējās summas.</w:t>
      </w:r>
    </w:p>
    <w:p w14:paraId="1B420E4E" w14:textId="77777777" w:rsidR="00C357C1" w:rsidRDefault="00C97953" w:rsidP="00AC53EA">
      <w:pPr>
        <w:numPr>
          <w:ilvl w:val="1"/>
          <w:numId w:val="6"/>
        </w:numPr>
        <w:pBdr>
          <w:top w:val="nil"/>
          <w:left w:val="nil"/>
          <w:bottom w:val="nil"/>
          <w:right w:val="nil"/>
          <w:between w:val="nil"/>
        </w:pBdr>
        <w:tabs>
          <w:tab w:val="left" w:pos="709"/>
          <w:tab w:val="left" w:pos="900"/>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Atbalsta pretendentam, kurš veic saimniecisko darbību, neto apgrozījums atbilst nolikuma </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.1.2. un </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.1.3. apakšpunktos ietvertajām prasībām. </w:t>
      </w:r>
    </w:p>
    <w:p w14:paraId="502B7697" w14:textId="77777777" w:rsidR="00C357C1" w:rsidRDefault="00C97953" w:rsidP="00AC53EA">
      <w:pPr>
        <w:numPr>
          <w:ilvl w:val="1"/>
          <w:numId w:val="6"/>
        </w:numPr>
        <w:pBdr>
          <w:top w:val="nil"/>
          <w:left w:val="nil"/>
          <w:bottom w:val="nil"/>
          <w:right w:val="nil"/>
          <w:between w:val="nil"/>
        </w:pBdr>
        <w:tabs>
          <w:tab w:val="left" w:pos="709"/>
          <w:tab w:val="left" w:pos="810"/>
          <w:tab w:val="left" w:pos="900"/>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Izpildās visi Nolikuma 3.sadaļas nosacījumi. </w:t>
      </w:r>
    </w:p>
    <w:p w14:paraId="2E7157CC" w14:textId="77777777" w:rsidR="00C357C1" w:rsidRDefault="00C97953" w:rsidP="00AC53EA">
      <w:pPr>
        <w:numPr>
          <w:ilvl w:val="1"/>
          <w:numId w:val="6"/>
        </w:numPr>
        <w:pBdr>
          <w:top w:val="nil"/>
          <w:left w:val="nil"/>
          <w:bottom w:val="nil"/>
          <w:right w:val="nil"/>
          <w:between w:val="nil"/>
        </w:pBdr>
        <w:tabs>
          <w:tab w:val="left" w:pos="709"/>
          <w:tab w:val="left" w:pos="810"/>
          <w:tab w:val="left" w:pos="90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pretendents līdz šim ir saņēmis nodibinājuma LEARN vai Rēzeknes novada pašvaldības finansējumu, obligāta  atbalstītā/-to projekta/-u līgumsaistību izpilde.</w:t>
      </w:r>
    </w:p>
    <w:p w14:paraId="4D41F7E3" w14:textId="77777777" w:rsidR="00C357C1" w:rsidRDefault="00C97953" w:rsidP="00AC53EA">
      <w:pPr>
        <w:numPr>
          <w:ilvl w:val="1"/>
          <w:numId w:val="6"/>
        </w:numPr>
        <w:pBdr>
          <w:top w:val="nil"/>
          <w:left w:val="nil"/>
          <w:bottom w:val="nil"/>
          <w:right w:val="nil"/>
          <w:between w:val="nil"/>
        </w:pBdr>
        <w:tabs>
          <w:tab w:val="left" w:pos="709"/>
          <w:tab w:val="left" w:pos="810"/>
          <w:tab w:val="left" w:pos="90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Projektu konkursa kontaktpersonai ir tiesības pieprasīt no projekta iesniedzēja papildus informāciju par projekta pieteikumu. </w:t>
      </w:r>
    </w:p>
    <w:p w14:paraId="76CFA3F1" w14:textId="77777777" w:rsidR="00C357C1" w:rsidRDefault="00C97953" w:rsidP="00AC53EA">
      <w:pPr>
        <w:numPr>
          <w:ilvl w:val="1"/>
          <w:numId w:val="6"/>
        </w:numPr>
        <w:pBdr>
          <w:top w:val="nil"/>
          <w:left w:val="nil"/>
          <w:bottom w:val="nil"/>
          <w:right w:val="nil"/>
          <w:between w:val="nil"/>
        </w:pBdr>
        <w:tabs>
          <w:tab w:val="left" w:pos="709"/>
          <w:tab w:val="left" w:pos="810"/>
          <w:tab w:val="left" w:pos="900"/>
        </w:tabs>
        <w:spacing w:after="0" w:line="240" w:lineRule="auto"/>
        <w:ind w:left="0" w:hanging="2"/>
        <w:jc w:val="both"/>
        <w:rPr>
          <w:rFonts w:ascii="Times New Roman" w:eastAsia="Times New Roman" w:hAnsi="Times New Roman" w:cs="Times New Roman"/>
          <w:sz w:val="24"/>
          <w:szCs w:val="24"/>
        </w:rPr>
      </w:pPr>
      <w:bookmarkStart w:id="11" w:name="_heading=h.30j0zll" w:colFirst="0" w:colLast="0"/>
      <w:bookmarkStart w:id="12" w:name="_Hlk62652645"/>
      <w:bookmarkEnd w:id="11"/>
      <w:r>
        <w:rPr>
          <w:rFonts w:ascii="Times New Roman" w:eastAsia="Times New Roman" w:hAnsi="Times New Roman" w:cs="Times New Roman"/>
          <w:sz w:val="24"/>
          <w:szCs w:val="24"/>
        </w:rPr>
        <w:t>Projektu pieteikumu administratīvo vērtēšanu veic projektu konkursa kontaktpersona.</w:t>
      </w:r>
    </w:p>
    <w:p w14:paraId="16D144A5" w14:textId="77777777" w:rsidR="00C357C1" w:rsidRDefault="00C97953" w:rsidP="00AC53EA">
      <w:pPr>
        <w:numPr>
          <w:ilvl w:val="1"/>
          <w:numId w:val="6"/>
        </w:numPr>
        <w:pBdr>
          <w:top w:val="nil"/>
          <w:left w:val="nil"/>
          <w:bottom w:val="nil"/>
          <w:right w:val="nil"/>
          <w:between w:val="nil"/>
        </w:pBdr>
        <w:tabs>
          <w:tab w:val="left" w:pos="709"/>
          <w:tab w:val="left" w:pos="810"/>
          <w:tab w:val="left" w:pos="900"/>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Projekta pieteikums, kas atbilst visiem administratīvās vērtēšanas kritērijiem, tālāk tiek vērtēts </w:t>
      </w:r>
      <w:bookmarkEnd w:id="12"/>
      <w:r>
        <w:rPr>
          <w:rFonts w:ascii="Times New Roman" w:eastAsia="Times New Roman" w:hAnsi="Times New Roman" w:cs="Times New Roman"/>
          <w:color w:val="000000"/>
          <w:sz w:val="24"/>
          <w:szCs w:val="24"/>
        </w:rPr>
        <w:t>atbilstoši Nolikuma 6. sadaļā definētajiem kvalitātes vērtēšanas kritērijiem.</w:t>
      </w:r>
    </w:p>
    <w:p w14:paraId="75433D96" w14:textId="77777777" w:rsidR="00C357C1" w:rsidRDefault="00C97953" w:rsidP="00AC53EA">
      <w:pPr>
        <w:numPr>
          <w:ilvl w:val="1"/>
          <w:numId w:val="6"/>
        </w:numPr>
        <w:pBdr>
          <w:top w:val="nil"/>
          <w:left w:val="nil"/>
          <w:bottom w:val="nil"/>
          <w:right w:val="nil"/>
          <w:between w:val="nil"/>
        </w:pBdr>
        <w:tabs>
          <w:tab w:val="left" w:pos="709"/>
          <w:tab w:val="left" w:pos="810"/>
          <w:tab w:val="left" w:pos="90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Projekta pieteikums, kas neatbilst kaut vienam no administratīvās vērtēšanas kritērijiem, tālāk netiek vērtēts un tiek noraidīts, par ko pieteikuma iesniedzējs tiek informēts 10 (desmit) darba dienu laikā.</w:t>
      </w:r>
    </w:p>
    <w:p w14:paraId="2F9EA6EB" w14:textId="77777777" w:rsidR="00C357C1" w:rsidRDefault="00C357C1">
      <w:pPr>
        <w:pBdr>
          <w:top w:val="nil"/>
          <w:left w:val="nil"/>
          <w:bottom w:val="nil"/>
          <w:right w:val="nil"/>
          <w:between w:val="nil"/>
        </w:pBdr>
        <w:tabs>
          <w:tab w:val="left" w:pos="630"/>
          <w:tab w:val="left" w:pos="810"/>
        </w:tabs>
        <w:spacing w:after="0" w:line="240" w:lineRule="auto"/>
        <w:ind w:left="0" w:hanging="2"/>
        <w:jc w:val="both"/>
        <w:rPr>
          <w:rFonts w:ascii="Times New Roman" w:eastAsia="Times New Roman" w:hAnsi="Times New Roman" w:cs="Times New Roman"/>
          <w:sz w:val="24"/>
          <w:szCs w:val="24"/>
        </w:rPr>
      </w:pPr>
    </w:p>
    <w:p w14:paraId="74764FEC" w14:textId="77777777" w:rsidR="00C357C1" w:rsidRDefault="00C97953" w:rsidP="00AC53EA">
      <w:pPr>
        <w:numPr>
          <w:ilvl w:val="0"/>
          <w:numId w:val="6"/>
        </w:numPr>
        <w:tabs>
          <w:tab w:val="left" w:pos="630"/>
          <w:tab w:val="left" w:pos="810"/>
        </w:tabs>
        <w:spacing w:after="0" w:line="240" w:lineRule="auto"/>
        <w:ind w:left="-2" w:firstLineChars="117" w:firstLine="28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KVALITĀTES VĒRTĒŠANAS KRITĒRIJI</w:t>
      </w:r>
    </w:p>
    <w:p w14:paraId="79E506AB" w14:textId="77777777" w:rsidR="00C357C1" w:rsidRDefault="00C357C1" w:rsidP="00D472FA">
      <w:pPr>
        <w:spacing w:after="0" w:line="240" w:lineRule="auto"/>
        <w:ind w:left="0" w:hanging="2"/>
        <w:jc w:val="both"/>
        <w:rPr>
          <w:rFonts w:ascii="Times New Roman" w:eastAsia="Times New Roman" w:hAnsi="Times New Roman" w:cs="Times New Roman"/>
          <w:sz w:val="24"/>
          <w:szCs w:val="24"/>
        </w:rPr>
      </w:pPr>
    </w:p>
    <w:p w14:paraId="623DCABA" w14:textId="77777777" w:rsidR="00C357C1" w:rsidRPr="00D472FA" w:rsidRDefault="00C97953" w:rsidP="00AC53EA">
      <w:pPr>
        <w:numPr>
          <w:ilvl w:val="1"/>
          <w:numId w:val="6"/>
        </w:numPr>
        <w:pBdr>
          <w:top w:val="nil"/>
          <w:left w:val="nil"/>
          <w:bottom w:val="nil"/>
          <w:right w:val="nil"/>
          <w:between w:val="nil"/>
        </w:pBdr>
        <w:tabs>
          <w:tab w:val="left" w:pos="810"/>
        </w:tabs>
        <w:spacing w:after="0" w:line="240" w:lineRule="auto"/>
        <w:ind w:left="0" w:hanging="2"/>
        <w:rPr>
          <w:rFonts w:ascii="Times New Roman" w:hAnsi="Times New Roman"/>
          <w:color w:val="000000"/>
          <w:sz w:val="24"/>
        </w:rPr>
      </w:pPr>
      <w:r w:rsidRPr="00D472FA">
        <w:rPr>
          <w:rFonts w:ascii="Times New Roman" w:hAnsi="Times New Roman"/>
          <w:color w:val="000000"/>
          <w:sz w:val="24"/>
        </w:rPr>
        <w:t xml:space="preserve">Priekšroka tiks dota projektiem, kuri paredz: </w:t>
      </w:r>
    </w:p>
    <w:p w14:paraId="273C684F" w14:textId="6B0D8546" w:rsidR="00F106DA" w:rsidRDefault="00F106DA" w:rsidP="00D472FA">
      <w:pPr>
        <w:tabs>
          <w:tab w:val="left" w:pos="630"/>
          <w:tab w:val="left" w:pos="81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projekta īstenošanas aktualitāti attiecīgās uzņēmējdarbības jomas, pagasta, novada līmenī (t.sk. </w:t>
      </w:r>
      <w:proofErr w:type="spellStart"/>
      <w:r>
        <w:rPr>
          <w:rFonts w:ascii="Times New Roman" w:eastAsia="Times New Roman" w:hAnsi="Times New Roman" w:cs="Times New Roman"/>
          <w:sz w:val="24"/>
          <w:szCs w:val="24"/>
        </w:rPr>
        <w:t>problēmsituācijas</w:t>
      </w:r>
      <w:proofErr w:type="spellEnd"/>
      <w:r>
        <w:rPr>
          <w:rFonts w:ascii="Times New Roman" w:eastAsia="Times New Roman" w:hAnsi="Times New Roman" w:cs="Times New Roman"/>
          <w:sz w:val="24"/>
          <w:szCs w:val="24"/>
        </w:rPr>
        <w:t xml:space="preserve"> apraksts, tās risinājums, darbavietu saglabāšana/radīšana, klientu/cilvēkresursu piesaistes sekmēšana, sadarbība ar novada pašvaldību un citiem novada uzņēmumiem u.tml. projekta īstenošanas aktualitāti pamatojošu argumentu apraksts),</w:t>
      </w:r>
    </w:p>
    <w:p w14:paraId="149D8342" w14:textId="7BC3F289" w:rsidR="00F106DA" w:rsidRDefault="00F106DA" w:rsidP="00D472FA">
      <w:pPr>
        <w:tabs>
          <w:tab w:val="left" w:pos="630"/>
          <w:tab w:val="left" w:pos="81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darbības nozares raksturojums un tirgus situācijas izpēte ar tuvāko konkurentu analīzi,</w:t>
      </w:r>
    </w:p>
    <w:p w14:paraId="09D52844" w14:textId="2643DDB7" w:rsidR="00F106DA" w:rsidRDefault="00F106DA" w:rsidP="00D472FA">
      <w:pPr>
        <w:tabs>
          <w:tab w:val="left" w:pos="630"/>
          <w:tab w:val="left" w:pos="81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 jaunu darba vietu radīšanu,</w:t>
      </w:r>
    </w:p>
    <w:p w14:paraId="0EA365B3" w14:textId="7F9B749A" w:rsidR="00F106DA" w:rsidRDefault="00F106DA" w:rsidP="00D472FA">
      <w:pPr>
        <w:tabs>
          <w:tab w:val="left" w:pos="630"/>
          <w:tab w:val="left" w:pos="81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6.1.4. preču ražošanu vai pakalpojumus, kuri tiek veidoti pēc universālā dizaina</w:t>
      </w:r>
      <w:r>
        <w:rPr>
          <w:rStyle w:val="FootnoteReference"/>
          <w:rFonts w:eastAsia="Times New Roman" w:cs="Times New Roman"/>
          <w:sz w:val="24"/>
          <w:szCs w:val="24"/>
        </w:rPr>
        <w:footnoteReference w:id="3"/>
      </w:r>
      <w:r>
        <w:rPr>
          <w:rFonts w:ascii="Times New Roman" w:eastAsia="Times New Roman" w:hAnsi="Times New Roman" w:cs="Times New Roman"/>
          <w:sz w:val="24"/>
          <w:szCs w:val="24"/>
        </w:rPr>
        <w:t xml:space="preserve"> principa vai pielāgoti cilvēkiem ar īpašām vajadzībām,</w:t>
      </w:r>
    </w:p>
    <w:p w14:paraId="191A82BD" w14:textId="2161CECA" w:rsidR="00F106DA" w:rsidRDefault="00F106DA" w:rsidP="00D472FA">
      <w:pPr>
        <w:tabs>
          <w:tab w:val="left" w:pos="630"/>
          <w:tab w:val="left" w:pos="81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 ar tiesisko statusu definētu sociālā uzņēmuma </w:t>
      </w:r>
      <w:r w:rsidR="00C4639F">
        <w:rPr>
          <w:rFonts w:ascii="Times New Roman" w:eastAsia="Times New Roman" w:hAnsi="Times New Roman" w:cs="Times New Roman"/>
          <w:sz w:val="24"/>
          <w:szCs w:val="24"/>
        </w:rPr>
        <w:t>attīstību</w:t>
      </w:r>
      <w:r>
        <w:rPr>
          <w:rFonts w:ascii="Times New Roman" w:eastAsia="Times New Roman" w:hAnsi="Times New Roman" w:cs="Times New Roman"/>
          <w:sz w:val="24"/>
          <w:szCs w:val="24"/>
        </w:rPr>
        <w:t>/dibināšanu,</w:t>
      </w:r>
    </w:p>
    <w:p w14:paraId="30403DB1" w14:textId="14976324" w:rsidR="00F106DA" w:rsidRDefault="00F106DA" w:rsidP="00D472FA">
      <w:pPr>
        <w:tabs>
          <w:tab w:val="left" w:pos="630"/>
          <w:tab w:val="left" w:pos="810"/>
        </w:tabs>
        <w:spacing w:after="0" w:line="240" w:lineRule="auto"/>
        <w:ind w:left="0" w:hanging="2"/>
        <w:jc w:val="both"/>
        <w:rPr>
          <w:rFonts w:ascii="Times New Roman" w:eastAsia="Times New Roman" w:hAnsi="Times New Roman" w:cs="Times New Roman"/>
          <w:sz w:val="24"/>
          <w:szCs w:val="24"/>
        </w:rPr>
      </w:pPr>
      <w:r w:rsidRPr="000000E2">
        <w:rPr>
          <w:rFonts w:ascii="Times New Roman" w:eastAsia="Times New Roman" w:hAnsi="Times New Roman" w:cs="Times New Roman"/>
          <w:sz w:val="24"/>
          <w:szCs w:val="24"/>
        </w:rPr>
        <w:t xml:space="preserve">6.1.6. iespējas citu pakalpojumu un produktu piedāvājumu attīstībai vai izmantošanai savā darbā, </w:t>
      </w:r>
      <w:r w:rsidR="000000E2">
        <w:rPr>
          <w:rFonts w:ascii="Times New Roman" w:eastAsia="Times New Roman" w:hAnsi="Times New Roman" w:cs="Times New Roman"/>
          <w:sz w:val="24"/>
          <w:szCs w:val="24"/>
        </w:rPr>
        <w:t>(</w:t>
      </w:r>
      <w:r w:rsidRPr="000000E2">
        <w:rPr>
          <w:rFonts w:ascii="Times New Roman" w:eastAsia="Times New Roman" w:hAnsi="Times New Roman" w:cs="Times New Roman"/>
          <w:sz w:val="24"/>
          <w:szCs w:val="24"/>
        </w:rPr>
        <w:t>tai skaitā vietējo izejvielu/izejmateriālu izmantošanu/pārstrādi</w:t>
      </w:r>
      <w:r w:rsidR="000000E2">
        <w:rPr>
          <w:rFonts w:ascii="Times New Roman" w:eastAsia="Times New Roman" w:hAnsi="Times New Roman" w:cs="Times New Roman"/>
          <w:sz w:val="24"/>
          <w:szCs w:val="24"/>
        </w:rPr>
        <w:t xml:space="preserve">), </w:t>
      </w:r>
    </w:p>
    <w:p w14:paraId="52B12888" w14:textId="1134C397" w:rsidR="009629FA" w:rsidRDefault="009629FA" w:rsidP="00D472FA">
      <w:pPr>
        <w:tabs>
          <w:tab w:val="left" w:pos="630"/>
          <w:tab w:val="left" w:pos="81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 izanalizēta cenu politika, realizācijas plāns un mērķauditorija, provizoriski paredzēta darbība informatīvajā telpā un sociālo mediju platformu izmantošanā,</w:t>
      </w:r>
    </w:p>
    <w:p w14:paraId="20386929" w14:textId="6845A3FE" w:rsidR="009629FA" w:rsidRDefault="009629FA" w:rsidP="00D472FA">
      <w:pPr>
        <w:tabs>
          <w:tab w:val="left" w:pos="630"/>
          <w:tab w:val="left" w:pos="81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6.1.8. projekta risku analīze, to mazināšanas pasākumi,</w:t>
      </w:r>
    </w:p>
    <w:p w14:paraId="2690A892" w14:textId="738714DD" w:rsidR="009629FA" w:rsidRDefault="009629FA" w:rsidP="00D472FA">
      <w:pPr>
        <w:tabs>
          <w:tab w:val="left" w:pos="630"/>
          <w:tab w:val="left" w:pos="81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6.1.9. detalizēts paraksts nepieciešamajiem resursiem saimnieciskās darbības veikšanai (tehnika, telpas, cilvēkresursi, piegādātāju/darbu veicēju raksturojums),</w:t>
      </w:r>
    </w:p>
    <w:p w14:paraId="2F690922" w14:textId="1C5C936E" w:rsidR="009629FA" w:rsidRDefault="009629FA" w:rsidP="00D472FA">
      <w:pPr>
        <w:tabs>
          <w:tab w:val="left" w:pos="630"/>
          <w:tab w:val="left" w:pos="81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6.1.10. Naudas plūsma ir ticama, pozitīva katrā gadā, ieņēmumi sabalansēti ar izmaksām. Finanšu plūsma liecina par saimnieciskās darbības konkurētspēju un ilgtspēju,</w:t>
      </w:r>
    </w:p>
    <w:p w14:paraId="26AE8419" w14:textId="7FCE7B9C" w:rsidR="009629FA" w:rsidRDefault="009629FA" w:rsidP="00D472FA">
      <w:pPr>
        <w:tabs>
          <w:tab w:val="left" w:pos="630"/>
          <w:tab w:val="left" w:pos="81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6.1.11. paredzēta sociālo tīklu konta ieviešana, lai sekmētu auditorijas piesaisti.</w:t>
      </w:r>
    </w:p>
    <w:p w14:paraId="3ED4FE62" w14:textId="26BC73AD" w:rsidR="009629FA" w:rsidRDefault="009629FA" w:rsidP="00D472FA">
      <w:pPr>
        <w:tabs>
          <w:tab w:val="left" w:pos="630"/>
          <w:tab w:val="left" w:pos="81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Lai projekts varētu tikt atbalstīts, tam jāsaņem minimālais punktu skaits kvalitātes kritērijos vismaz </w:t>
      </w:r>
      <w:r w:rsidRPr="009629FA">
        <w:rPr>
          <w:rFonts w:ascii="Times New Roman" w:eastAsia="Times New Roman" w:hAnsi="Times New Roman" w:cs="Times New Roman"/>
          <w:b/>
          <w:bCs/>
          <w:sz w:val="24"/>
          <w:szCs w:val="24"/>
        </w:rPr>
        <w:t>50 kvalitātes vērtēšanas punkti</w:t>
      </w:r>
      <w:r>
        <w:rPr>
          <w:rFonts w:ascii="Times New Roman" w:eastAsia="Times New Roman" w:hAnsi="Times New Roman" w:cs="Times New Roman"/>
          <w:sz w:val="24"/>
          <w:szCs w:val="24"/>
        </w:rPr>
        <w:t>.</w:t>
      </w:r>
    </w:p>
    <w:p w14:paraId="611E1F38" w14:textId="2042C444" w:rsidR="00C357C1" w:rsidRDefault="00C97953" w:rsidP="00D472FA">
      <w:pPr>
        <w:tabs>
          <w:tab w:val="left" w:pos="630"/>
          <w:tab w:val="left" w:pos="81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6.2. punktā minētais minimālais punktu skaits kvalitātes kritērijos negarantē automātisku projekta apstiprināšanu, jo pieejamā finansējuma ietvaros projekti tiek </w:t>
      </w:r>
      <w:proofErr w:type="spellStart"/>
      <w:r>
        <w:rPr>
          <w:rFonts w:ascii="Times New Roman" w:eastAsia="Times New Roman" w:hAnsi="Times New Roman" w:cs="Times New Roman"/>
          <w:sz w:val="24"/>
          <w:szCs w:val="24"/>
        </w:rPr>
        <w:t>ranžēti</w:t>
      </w:r>
      <w:proofErr w:type="spellEnd"/>
      <w:r>
        <w:rPr>
          <w:rFonts w:ascii="Times New Roman" w:eastAsia="Times New Roman" w:hAnsi="Times New Roman" w:cs="Times New Roman"/>
          <w:sz w:val="24"/>
          <w:szCs w:val="24"/>
        </w:rPr>
        <w:t xml:space="preserve"> pēc kvalitātes kritērijos saņemtā punktu kopskaita.</w:t>
      </w:r>
    </w:p>
    <w:p w14:paraId="5BA08C92" w14:textId="77777777" w:rsidR="00C357C1" w:rsidRDefault="00C357C1" w:rsidP="00D472F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4"/>
          <w:szCs w:val="24"/>
        </w:rPr>
      </w:pPr>
    </w:p>
    <w:p w14:paraId="393DA617" w14:textId="77777777" w:rsidR="00C357C1" w:rsidRDefault="00C97953" w:rsidP="00091A56">
      <w:pPr>
        <w:numPr>
          <w:ilvl w:val="0"/>
          <w:numId w:val="6"/>
        </w:numPr>
        <w:pBdr>
          <w:top w:val="nil"/>
          <w:left w:val="nil"/>
          <w:bottom w:val="nil"/>
          <w:right w:val="nil"/>
          <w:between w:val="nil"/>
        </w:pBdr>
        <w:spacing w:after="0" w:line="240" w:lineRule="auto"/>
        <w:ind w:left="-2" w:firstLineChars="176" w:firstLine="42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PROJEKTU PIETEIKUMU KVALITĀTES VĒRTĒŠANAS KĀRTĪBA</w:t>
      </w:r>
    </w:p>
    <w:p w14:paraId="0D198D29" w14:textId="77777777" w:rsidR="00C357C1" w:rsidRDefault="00C357C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28491857" w14:textId="77777777" w:rsidR="00C357C1" w:rsidRDefault="00C97953" w:rsidP="0033185E">
      <w:pPr>
        <w:numPr>
          <w:ilvl w:val="1"/>
          <w:numId w:val="6"/>
        </w:numPr>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Projektu pieteikumus izvērtē vērtēšanas komisija (turpmāk Komisija) ne mazāk kā 5 (piecu) locekļu sastāvā. </w:t>
      </w:r>
    </w:p>
    <w:p w14:paraId="17378F29" w14:textId="77777777" w:rsidR="00C357C1" w:rsidRDefault="00C97953" w:rsidP="0033185E">
      <w:pPr>
        <w:numPr>
          <w:ilvl w:val="1"/>
          <w:numId w:val="6"/>
        </w:numPr>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Komisija ir lemttiesīga, ja tās sēdē piedalās vairāk nekā puse no Komisijas locekļiem.  </w:t>
      </w:r>
    </w:p>
    <w:p w14:paraId="497BCB4C" w14:textId="77777777" w:rsidR="00C357C1" w:rsidRDefault="00C97953" w:rsidP="0033185E">
      <w:pPr>
        <w:numPr>
          <w:ilvl w:val="1"/>
          <w:numId w:val="6"/>
        </w:numPr>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Komisija ir tiesīga no pretendenta pieprasīt papildu informāciju par projekta pieteikumu. </w:t>
      </w:r>
    </w:p>
    <w:p w14:paraId="2D32ED50" w14:textId="77777777" w:rsidR="00C357C1" w:rsidRDefault="00C97953" w:rsidP="0033185E">
      <w:pPr>
        <w:numPr>
          <w:ilvl w:val="1"/>
          <w:numId w:val="6"/>
        </w:numPr>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rPr>
      </w:pPr>
      <w:r>
        <w:rPr>
          <w:rFonts w:ascii="Times New Roman" w:eastAsia="Times New Roman" w:hAnsi="Times New Roman" w:cs="Times New Roman"/>
          <w:color w:val="000000"/>
          <w:sz w:val="24"/>
          <w:szCs w:val="24"/>
        </w:rPr>
        <w:t>Komisijai ir tiesības pieaicināt konkrētās nozares ekspertus, kuriem ir padomdevēju tiesības.</w:t>
      </w:r>
    </w:p>
    <w:p w14:paraId="15C6F393" w14:textId="77777777" w:rsidR="00C357C1" w:rsidRDefault="00C97953" w:rsidP="0033185E">
      <w:pPr>
        <w:numPr>
          <w:ilvl w:val="1"/>
          <w:numId w:val="6"/>
        </w:numPr>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Komisija ir tiesīga apstiprināt projekta pieteikumu pilnā apjomā, samazinātā apjomā vai noraidīt to. </w:t>
      </w:r>
    </w:p>
    <w:p w14:paraId="0C7B1C42" w14:textId="77777777" w:rsidR="00C357C1" w:rsidRDefault="00C97953" w:rsidP="00AC53EA">
      <w:pPr>
        <w:numPr>
          <w:ilvl w:val="1"/>
          <w:numId w:val="6"/>
        </w:num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Komisijas priekšsēdētājs ir tiesīgs pieņemt lēmumus par izmaiņām, kas rodas projekta realizācijas laikā. </w:t>
      </w:r>
    </w:p>
    <w:p w14:paraId="69F7B8E3" w14:textId="77777777" w:rsidR="00C357C1" w:rsidRDefault="00C97953" w:rsidP="00AC53EA">
      <w:pPr>
        <w:numPr>
          <w:ilvl w:val="1"/>
          <w:numId w:val="6"/>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D472FA">
        <w:rPr>
          <w:rFonts w:ascii="Times New Roman" w:hAnsi="Times New Roman"/>
          <w:sz w:val="24"/>
        </w:rPr>
        <w:lastRenderedPageBreak/>
        <w:t xml:space="preserve">Projektu pieteikumus vērtē saskaņā ar Nolikuma 6.sadaļā noteiktajiem kvalitātes vērtēšanas kritērijiem. </w:t>
      </w:r>
    </w:p>
    <w:p w14:paraId="5F7CBD0C" w14:textId="77777777" w:rsidR="00C357C1" w:rsidRDefault="00C97953" w:rsidP="00AC53EA">
      <w:pPr>
        <w:numPr>
          <w:ilvl w:val="1"/>
          <w:numId w:val="6"/>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sz w:val="24"/>
          <w:szCs w:val="24"/>
        </w:rPr>
        <w:t>Komisijai ir tiesības uzaicināt atbalsta pretendentu klātienē vai attālināti caur pieslēgšanos tiešsaistē prezentēt projekta ideju.</w:t>
      </w:r>
    </w:p>
    <w:p w14:paraId="4F6D545E" w14:textId="5EB4D19B" w:rsidR="00C357C1" w:rsidRDefault="00C97953" w:rsidP="00AC53EA">
      <w:pPr>
        <w:numPr>
          <w:ilvl w:val="1"/>
          <w:numId w:val="6"/>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sz w:val="24"/>
          <w:szCs w:val="24"/>
        </w:rPr>
        <w:t>Komisijai ir tiesības uzaicināt prezentēt projekta ideju tikai dažus</w:t>
      </w:r>
      <w:r w:rsidR="003A7ED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nevis visus pretendentus, izvēloties tos, kuru vērtējuma precizēšanai nepieciešams detalizētāks pretendenta projekta idejas izklāsts, vai kuru projekta pieteikumos ir pretrunīga vai nepietiekoši skaidra informācija.</w:t>
      </w:r>
    </w:p>
    <w:p w14:paraId="304A8047" w14:textId="3B1CE61E" w:rsidR="00C357C1" w:rsidRDefault="00C97953" w:rsidP="00AC53EA">
      <w:pPr>
        <w:numPr>
          <w:ilvl w:val="1"/>
          <w:numId w:val="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sz w:val="24"/>
          <w:szCs w:val="24"/>
        </w:rPr>
        <w:t>Komisija veic projektu vērtēšanu</w:t>
      </w:r>
      <w:r w:rsidR="003A7E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balstoties uz vērtēšanas kritērijiem un pretendentu sniegumu prezentāciju laikā.   </w:t>
      </w:r>
    </w:p>
    <w:p w14:paraId="3527ED60" w14:textId="77777777" w:rsidR="00C357C1" w:rsidRDefault="00C97953" w:rsidP="00AC53EA">
      <w:pPr>
        <w:numPr>
          <w:ilvl w:val="1"/>
          <w:numId w:val="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highlight w:val="white"/>
        </w:rPr>
        <w:t xml:space="preserve">Komisija veic vērtēšanas procesu un pieņem lēmumus par iesniegto projektu pieteikumu noraidīšanu vai apstiprināšanu 50 (piecdesmit) </w:t>
      </w:r>
      <w:r>
        <w:rPr>
          <w:rFonts w:ascii="Times New Roman" w:eastAsia="Times New Roman" w:hAnsi="Times New Roman" w:cs="Times New Roman"/>
          <w:color w:val="000000"/>
          <w:sz w:val="24"/>
          <w:szCs w:val="24"/>
        </w:rPr>
        <w:t>darba dienu laikā pēc projektu pieteikumu iesniegšanas termiņa beigām.</w:t>
      </w:r>
    </w:p>
    <w:p w14:paraId="57CA3D96" w14:textId="24A3FAD7" w:rsidR="00C357C1" w:rsidRDefault="00C97953" w:rsidP="00AC53EA">
      <w:pPr>
        <w:numPr>
          <w:ilvl w:val="1"/>
          <w:numId w:val="6"/>
        </w:numPr>
        <w:pBdr>
          <w:top w:val="nil"/>
          <w:left w:val="nil"/>
          <w:bottom w:val="nil"/>
          <w:right w:val="nil"/>
          <w:between w:val="nil"/>
        </w:pBdr>
        <w:tabs>
          <w:tab w:val="left" w:pos="851"/>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Komisija ir tiesīga pagarināt projektu pieteikumu izskatīšanas termiņu, ievietojot informāciju par to Rēzeknes novada mājas lapā </w:t>
      </w:r>
      <w:hyperlink r:id="rId17">
        <w:r>
          <w:rPr>
            <w:rFonts w:ascii="Times New Roman" w:eastAsia="Times New Roman" w:hAnsi="Times New Roman" w:cs="Times New Roman"/>
            <w:color w:val="000000"/>
            <w:sz w:val="24"/>
            <w:szCs w:val="24"/>
            <w:u w:val="single"/>
          </w:rPr>
          <w:t>www.rezeknesnovads.lv</w:t>
        </w:r>
      </w:hyperlink>
      <w:r>
        <w:rPr>
          <w:rFonts w:ascii="Times New Roman" w:eastAsia="Times New Roman" w:hAnsi="Times New Roman" w:cs="Times New Roman"/>
          <w:sz w:val="24"/>
          <w:szCs w:val="24"/>
        </w:rPr>
        <w:t>.</w:t>
      </w:r>
    </w:p>
    <w:p w14:paraId="04A988CD" w14:textId="77777777" w:rsidR="00C357C1" w:rsidRDefault="00C97953" w:rsidP="00AC53EA">
      <w:pPr>
        <w:numPr>
          <w:ilvl w:val="1"/>
          <w:numId w:val="6"/>
        </w:numPr>
        <w:pBdr>
          <w:top w:val="nil"/>
          <w:left w:val="nil"/>
          <w:bottom w:val="nil"/>
          <w:right w:val="nil"/>
          <w:between w:val="nil"/>
        </w:pBdr>
        <w:tabs>
          <w:tab w:val="left" w:pos="851"/>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sz w:val="24"/>
          <w:szCs w:val="24"/>
          <w:highlight w:val="white"/>
        </w:rPr>
        <w:t>10 (desmit)</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darba dienu laikā pēc Komisijas lēmuma pieņemšanas pretendents tiek informēts par projekta apstiprināšanu vai noraidīšanu, sazinoties pa </w:t>
      </w:r>
      <w:r>
        <w:rPr>
          <w:rFonts w:ascii="Times New Roman" w:eastAsia="Times New Roman" w:hAnsi="Times New Roman" w:cs="Times New Roman"/>
          <w:sz w:val="24"/>
          <w:szCs w:val="24"/>
        </w:rPr>
        <w:t>e-pastu, kas norādīti</w:t>
      </w:r>
      <w:r>
        <w:rPr>
          <w:rFonts w:ascii="Times New Roman" w:eastAsia="Times New Roman" w:hAnsi="Times New Roman" w:cs="Times New Roman"/>
          <w:color w:val="000000"/>
          <w:sz w:val="24"/>
          <w:szCs w:val="24"/>
        </w:rPr>
        <w:t xml:space="preserve"> projekta pieteikum</w:t>
      </w:r>
      <w:r>
        <w:rPr>
          <w:rFonts w:ascii="Times New Roman" w:eastAsia="Times New Roman" w:hAnsi="Times New Roman" w:cs="Times New Roman"/>
          <w:sz w:val="24"/>
          <w:szCs w:val="24"/>
        </w:rPr>
        <w:t>ā</w:t>
      </w:r>
      <w:r>
        <w:rPr>
          <w:rFonts w:ascii="Times New Roman" w:eastAsia="Times New Roman" w:hAnsi="Times New Roman" w:cs="Times New Roman"/>
          <w:color w:val="000000"/>
          <w:sz w:val="24"/>
          <w:szCs w:val="24"/>
        </w:rPr>
        <w:t>. Gadījumos, kad projekts tiek atbalstīts, pretendents tiek informēts arī par piešķirtā finansējuma apmēru un līguma slēgšanas laiku.</w:t>
      </w:r>
    </w:p>
    <w:p w14:paraId="76F1C3C3" w14:textId="0051672D" w:rsidR="00C357C1" w:rsidRDefault="00C97953" w:rsidP="00AC53EA">
      <w:pPr>
        <w:numPr>
          <w:ilvl w:val="1"/>
          <w:numId w:val="6"/>
        </w:numPr>
        <w:pBdr>
          <w:top w:val="nil"/>
          <w:left w:val="nil"/>
          <w:bottom w:val="nil"/>
          <w:right w:val="nil"/>
          <w:between w:val="nil"/>
        </w:pBdr>
        <w:tabs>
          <w:tab w:val="left" w:pos="709"/>
          <w:tab w:val="left" w:pos="851"/>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Konkursa rezultāti tiek publicēti Rēzeknes novada mājas lapā </w:t>
      </w:r>
      <w:hyperlink r:id="rId18">
        <w:r>
          <w:rPr>
            <w:rFonts w:ascii="Times New Roman" w:eastAsia="Times New Roman" w:hAnsi="Times New Roman" w:cs="Times New Roman"/>
            <w:color w:val="000000"/>
            <w:sz w:val="24"/>
            <w:szCs w:val="24"/>
            <w:u w:val="single"/>
          </w:rPr>
          <w:t>www.rezeknesnovads.lv</w:t>
        </w:r>
      </w:hyperlink>
      <w:r>
        <w:rPr>
          <w:rFonts w:ascii="Times New Roman" w:eastAsia="Times New Roman" w:hAnsi="Times New Roman" w:cs="Times New Roman"/>
          <w:color w:val="000000"/>
          <w:sz w:val="24"/>
          <w:szCs w:val="24"/>
        </w:rPr>
        <w:t xml:space="preserve">. </w:t>
      </w:r>
    </w:p>
    <w:p w14:paraId="33EFFEE2" w14:textId="77777777" w:rsidR="00C357C1" w:rsidRDefault="00C97953" w:rsidP="00AC53EA">
      <w:pPr>
        <w:numPr>
          <w:ilvl w:val="1"/>
          <w:numId w:val="6"/>
        </w:numPr>
        <w:pBdr>
          <w:top w:val="nil"/>
          <w:left w:val="nil"/>
          <w:bottom w:val="nil"/>
          <w:right w:val="nil"/>
          <w:between w:val="nil"/>
        </w:pBdr>
        <w:tabs>
          <w:tab w:val="left" w:pos="709"/>
          <w:tab w:val="left" w:pos="851"/>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iesniedzējam ir tiesības </w:t>
      </w:r>
      <w:proofErr w:type="spellStart"/>
      <w:r>
        <w:rPr>
          <w:rFonts w:ascii="Times New Roman" w:eastAsia="Times New Roman" w:hAnsi="Times New Roman" w:cs="Times New Roman"/>
          <w:sz w:val="24"/>
          <w:szCs w:val="24"/>
        </w:rPr>
        <w:t>rakstveidā</w:t>
      </w:r>
      <w:proofErr w:type="spellEnd"/>
      <w:r>
        <w:rPr>
          <w:rFonts w:ascii="Times New Roman" w:eastAsia="Times New Roman" w:hAnsi="Times New Roman" w:cs="Times New Roman"/>
          <w:sz w:val="24"/>
          <w:szCs w:val="24"/>
        </w:rPr>
        <w:t xml:space="preserve"> pieprasīt kopējo kvalitātes kritērijos saņemto punktu skaitu savam projektam.</w:t>
      </w:r>
    </w:p>
    <w:p w14:paraId="19120570" w14:textId="77777777" w:rsidR="00C357C1" w:rsidRDefault="00C97953" w:rsidP="00AC53EA">
      <w:pPr>
        <w:numPr>
          <w:ilvl w:val="1"/>
          <w:numId w:val="6"/>
        </w:numPr>
        <w:pBdr>
          <w:top w:val="nil"/>
          <w:left w:val="nil"/>
          <w:bottom w:val="nil"/>
          <w:right w:val="nil"/>
          <w:between w:val="nil"/>
        </w:pBdr>
        <w:tabs>
          <w:tab w:val="left" w:pos="709"/>
          <w:tab w:val="left" w:pos="851"/>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Pēc 7.15. punktā minētā pieprasījuma saņemšanas, kontaktpersona </w:t>
      </w:r>
      <w:proofErr w:type="spellStart"/>
      <w:r>
        <w:rPr>
          <w:rFonts w:ascii="Times New Roman" w:eastAsia="Times New Roman" w:hAnsi="Times New Roman" w:cs="Times New Roman"/>
          <w:sz w:val="24"/>
          <w:szCs w:val="24"/>
        </w:rPr>
        <w:t>nosūta</w:t>
      </w:r>
      <w:proofErr w:type="spellEnd"/>
      <w:r>
        <w:rPr>
          <w:rFonts w:ascii="Times New Roman" w:eastAsia="Times New Roman" w:hAnsi="Times New Roman" w:cs="Times New Roman"/>
          <w:sz w:val="24"/>
          <w:szCs w:val="24"/>
        </w:rPr>
        <w:t xml:space="preserve"> komisijas vērtējumu rakstveida formā konkrētā projekta iesniedzējam par viņa projektu. </w:t>
      </w:r>
    </w:p>
    <w:p w14:paraId="63674B4A" w14:textId="77777777" w:rsidR="00C357C1" w:rsidRDefault="00C357C1">
      <w:pPr>
        <w:pBdr>
          <w:top w:val="nil"/>
          <w:left w:val="nil"/>
          <w:bottom w:val="nil"/>
          <w:right w:val="nil"/>
          <w:between w:val="nil"/>
        </w:pBdr>
        <w:tabs>
          <w:tab w:val="left" w:pos="709"/>
          <w:tab w:val="left" w:pos="851"/>
        </w:tabs>
        <w:spacing w:after="0" w:line="240" w:lineRule="auto"/>
        <w:ind w:left="0" w:hanging="2"/>
        <w:jc w:val="both"/>
        <w:rPr>
          <w:rFonts w:ascii="Times New Roman" w:eastAsia="Times New Roman" w:hAnsi="Times New Roman" w:cs="Times New Roman"/>
          <w:sz w:val="24"/>
          <w:szCs w:val="24"/>
        </w:rPr>
      </w:pPr>
    </w:p>
    <w:p w14:paraId="0CC0392B" w14:textId="77777777" w:rsidR="00C357C1" w:rsidRDefault="00C97953" w:rsidP="00091A56">
      <w:pPr>
        <w:numPr>
          <w:ilvl w:val="0"/>
          <w:numId w:val="6"/>
        </w:numPr>
        <w:spacing w:after="0" w:line="240" w:lineRule="auto"/>
        <w:ind w:left="-2" w:firstLineChars="176" w:firstLine="42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LĪGUMSAISTĪBAS</w:t>
      </w:r>
    </w:p>
    <w:p w14:paraId="455DCD95" w14:textId="77777777" w:rsidR="00C357C1" w:rsidRDefault="00C357C1">
      <w:pPr>
        <w:spacing w:after="0" w:line="240" w:lineRule="auto"/>
        <w:ind w:left="0" w:hanging="2"/>
        <w:rPr>
          <w:rFonts w:ascii="Times New Roman" w:eastAsia="Times New Roman" w:hAnsi="Times New Roman" w:cs="Times New Roman"/>
          <w:sz w:val="24"/>
          <w:szCs w:val="24"/>
        </w:rPr>
      </w:pPr>
    </w:p>
    <w:p w14:paraId="3AA4B85A" w14:textId="77777777" w:rsidR="00C357C1" w:rsidRDefault="00C97953" w:rsidP="00AC53EA">
      <w:pPr>
        <w:numPr>
          <w:ilvl w:val="1"/>
          <w:numId w:val="6"/>
        </w:num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Rēzeknes novada pašvaldība </w:t>
      </w:r>
      <w:r>
        <w:rPr>
          <w:rFonts w:ascii="Times New Roman" w:eastAsia="Times New Roman" w:hAnsi="Times New Roman" w:cs="Times New Roman"/>
          <w:sz w:val="24"/>
          <w:szCs w:val="24"/>
        </w:rPr>
        <w:t>ar pretendentu slēdz līgumu par finansējuma piešķiršanu (turpmāk – Līgums) atbalstītā projekta īstenošanai. Līgumā nosakot:</w:t>
      </w:r>
    </w:p>
    <w:p w14:paraId="5C412BC3" w14:textId="77777777" w:rsidR="00C357C1" w:rsidRDefault="00C97953" w:rsidP="00AC53EA">
      <w:pPr>
        <w:numPr>
          <w:ilvl w:val="2"/>
          <w:numId w:val="6"/>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līgumslēdzēju tiesības, pienākumus un atbildību,</w:t>
      </w:r>
    </w:p>
    <w:p w14:paraId="4B38B43A" w14:textId="77777777" w:rsidR="00C357C1" w:rsidRDefault="00C97953" w:rsidP="00AC53EA">
      <w:pPr>
        <w:numPr>
          <w:ilvl w:val="2"/>
          <w:numId w:val="6"/>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atskaišu par piešķirto līdzekļu izlietojumu iesniegšanas kārtību un termiņus,</w:t>
      </w:r>
    </w:p>
    <w:p w14:paraId="5966ED7C" w14:textId="77777777" w:rsidR="00C357C1" w:rsidRDefault="00C97953" w:rsidP="00AC53EA">
      <w:pPr>
        <w:numPr>
          <w:ilvl w:val="2"/>
          <w:numId w:val="6"/>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īstenošanas darbības pārraudzību un kontroli.</w:t>
      </w:r>
    </w:p>
    <w:p w14:paraId="5CB194C6" w14:textId="416A4105" w:rsidR="00C357C1" w:rsidRDefault="00C97953" w:rsidP="00AC53EA">
      <w:pPr>
        <w:numPr>
          <w:ilvl w:val="1"/>
          <w:numId w:val="6"/>
        </w:num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Līgums tiek noslēgts pēc atbalsta pretendenta reģistrēšanās Latvijas Republikas Uzņēmumu reģistrā vai pēc saimnieciskās darbības reģistrēšanas Valsts ieņēmumu dienestā, </w:t>
      </w:r>
      <w:r w:rsidR="00EC1033">
        <w:rPr>
          <w:rFonts w:ascii="Times New Roman" w:eastAsia="Times New Roman" w:hAnsi="Times New Roman" w:cs="Times New Roman"/>
          <w:sz w:val="24"/>
          <w:szCs w:val="24"/>
        </w:rPr>
        <w:t>ievērojot</w:t>
      </w:r>
      <w:r>
        <w:rPr>
          <w:rFonts w:ascii="Times New Roman" w:eastAsia="Times New Roman" w:hAnsi="Times New Roman" w:cs="Times New Roman"/>
          <w:sz w:val="24"/>
          <w:szCs w:val="24"/>
        </w:rPr>
        <w:t xml:space="preserve"> 1.7. punktu, ne vēlāk kā 1 (viena) kalendārā mēneša laikā pēc lēmuma pieņemšanas par atbalsta piešķiršanu projekta īstenošanai.</w:t>
      </w:r>
    </w:p>
    <w:p w14:paraId="23A54AE5" w14:textId="77777777" w:rsidR="00C357C1" w:rsidRDefault="00C97953" w:rsidP="00AC53EA">
      <w:pPr>
        <w:numPr>
          <w:ilvl w:val="1"/>
          <w:numId w:val="6"/>
        </w:num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Konkursa rīkotājam ir tiesības līguma darbības laikā veikt pārbaudes finansējuma saņēmēja projektā norādītajā darbības vietā, lai pārliecinātos par: </w:t>
      </w:r>
    </w:p>
    <w:p w14:paraId="1736FA4D" w14:textId="77777777" w:rsidR="00C357C1" w:rsidRDefault="00C97953">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8.3.1.   iegādāto materiālo vērtību, atrašanos saimnieciskās darbības veikšanas vietā,</w:t>
      </w:r>
    </w:p>
    <w:p w14:paraId="332D1DE9" w14:textId="77777777" w:rsidR="00C357C1" w:rsidRDefault="00C97953">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8.3.2.   darbības norisi atbilstoši iesniegtajam Konkursa idejas pieteikumam, </w:t>
      </w:r>
    </w:p>
    <w:p w14:paraId="64E1477D" w14:textId="77777777" w:rsidR="00C357C1" w:rsidRDefault="00C97953">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8.3.3.   citu saistību izpildi, kas izriet no Konkursa idejas pieteikuma un noslēgtā līguma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 finansējuma piešķiršanu.</w:t>
      </w:r>
    </w:p>
    <w:p w14:paraId="31806A11" w14:textId="77777777" w:rsidR="00C357C1" w:rsidRDefault="00C97953" w:rsidP="00AC53EA">
      <w:pPr>
        <w:numPr>
          <w:ilvl w:val="1"/>
          <w:numId w:val="6"/>
        </w:num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sz w:val="24"/>
          <w:szCs w:val="24"/>
        </w:rPr>
        <w:t>Pēc projekta aktivitāšu īstenošanas, atbalsta saņēmējs sniedz šādas atskaites:</w:t>
      </w:r>
    </w:p>
    <w:p w14:paraId="2671D7FB" w14:textId="21394FEB" w:rsidR="00C357C1" w:rsidRDefault="00C97953" w:rsidP="00AC53EA">
      <w:pPr>
        <w:numPr>
          <w:ilvl w:val="2"/>
          <w:numId w:val="6"/>
        </w:numPr>
        <w:tabs>
          <w:tab w:val="left" w:pos="567"/>
          <w:tab w:val="left" w:pos="1418"/>
          <w:tab w:val="left" w:pos="3119"/>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atskaite par finansējuma izlietošanu un sasniegtajiem rezultātiem, kas iesniedzama 10 (desmit) darba dienu laikā pēc finansējuma izlietošanas jeb pēc līguma termiņa beigām, </w:t>
      </w:r>
    </w:p>
    <w:p w14:paraId="78778ECC" w14:textId="7F80D02A" w:rsidR="00C357C1" w:rsidRDefault="00C97953" w:rsidP="00AC53EA">
      <w:pPr>
        <w:numPr>
          <w:ilvl w:val="2"/>
          <w:numId w:val="6"/>
        </w:numPr>
        <w:tabs>
          <w:tab w:val="left" w:pos="567"/>
          <w:tab w:val="left" w:pos="1418"/>
          <w:tab w:val="left" w:pos="3119"/>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atskaite par iepriekšējā gada saimniecisko darbību jāsniedz katru gadu līdz tekošā kalendārā gada 1.</w:t>
      </w:r>
      <w:r>
        <w:rPr>
          <w:rFonts w:ascii="Times New Roman" w:eastAsia="Times New Roman" w:hAnsi="Times New Roman" w:cs="Times New Roman"/>
          <w:sz w:val="24"/>
          <w:szCs w:val="24"/>
        </w:rPr>
        <w:t xml:space="preserve">jūnijam 3 (trīs) gadus pēc </w:t>
      </w:r>
      <w:r>
        <w:rPr>
          <w:rFonts w:ascii="Times New Roman" w:eastAsia="Times New Roman" w:hAnsi="Times New Roman" w:cs="Times New Roman"/>
          <w:sz w:val="24"/>
          <w:szCs w:val="24"/>
          <w:highlight w:val="white"/>
        </w:rPr>
        <w:t>projekta noslēguma vai 5 (piecus) gadus,</w:t>
      </w:r>
      <w:r>
        <w:rPr>
          <w:rFonts w:ascii="Times New Roman" w:eastAsia="Times New Roman" w:hAnsi="Times New Roman" w:cs="Times New Roman"/>
          <w:sz w:val="24"/>
          <w:szCs w:val="24"/>
        </w:rPr>
        <w:t xml:space="preserve"> ja finansējums piešķirts saskaņā ar Nolikuma 3.2.3.punktu. Papildus iesniedz gada pārskatu par pēdējo noslēgto gadu vai gada ienākumu deklarāciju un tās pielikumu „Ieņēmumi no saimnieciskās darbības” par pēdējo noslēgto gadu, </w:t>
      </w:r>
    </w:p>
    <w:p w14:paraId="1DAE276A" w14:textId="77777777" w:rsidR="00C357C1" w:rsidRDefault="00C97953" w:rsidP="00AC53EA">
      <w:pPr>
        <w:numPr>
          <w:ilvl w:val="2"/>
          <w:numId w:val="6"/>
        </w:numPr>
        <w:tabs>
          <w:tab w:val="left" w:pos="709"/>
          <w:tab w:val="left" w:pos="1418"/>
          <w:tab w:val="left" w:pos="3119"/>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finansējuma saņēmējs, veicot saimniecisko darbību uzraudzības periodā (3 (trīs) gadi pēc projekta īstenošanas vai 5 (piecus) gadus, ja finansējums piešķirts saskaņā ar Nolikuma 3.2.3.punktu), </w:t>
      </w:r>
      <w:r>
        <w:rPr>
          <w:rFonts w:ascii="Times New Roman" w:eastAsia="Times New Roman" w:hAnsi="Times New Roman" w:cs="Times New Roman"/>
          <w:sz w:val="24"/>
          <w:szCs w:val="24"/>
        </w:rPr>
        <w:lastRenderedPageBreak/>
        <w:t>nodrošina neto apgrozījumu no saimnieciskās darbības atbilstoši projekta pieteikumā plānotajai naudas plūsmai vai ne mazāk kā 60% no plānotā apgrozījuma apjoma vidēji uzraudzības periodā.</w:t>
      </w:r>
    </w:p>
    <w:p w14:paraId="3D2AD85D" w14:textId="244D2294" w:rsidR="00C357C1" w:rsidRDefault="00C97953" w:rsidP="00AC53EA">
      <w:pPr>
        <w:numPr>
          <w:ilvl w:val="2"/>
          <w:numId w:val="6"/>
        </w:numPr>
        <w:tabs>
          <w:tab w:val="left" w:pos="709"/>
          <w:tab w:val="left" w:pos="1418"/>
          <w:tab w:val="left" w:pos="3119"/>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finansējuma saņēmējam ir daļēji atbalstīts projekts, tas ir, tiek piešķirta daļa no pieprasītās finansējuma summas, finansējuma saņēmējs 10  (desmit) darba dienu laikā pēc rezultātu paziņošanas iesniedz Rēzeknes novada pašvaldībai atjaunotu finanšu plūsmu proporcionāli atbalstītajai summai. </w:t>
      </w:r>
    </w:p>
    <w:p w14:paraId="3E343F5D" w14:textId="004C308A" w:rsidR="00EC1033" w:rsidRDefault="00EC1033" w:rsidP="00AC53EA">
      <w:pPr>
        <w:numPr>
          <w:ilvl w:val="2"/>
          <w:numId w:val="6"/>
        </w:numPr>
        <w:tabs>
          <w:tab w:val="left" w:pos="709"/>
          <w:tab w:val="left" w:pos="1418"/>
          <w:tab w:val="left" w:pos="3119"/>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Finansējuma saņēmējam, kuram projekta pieteikumā noteikts, ka tiks izveidota jauna darba vieta, par gadu, kad tika pieņemts darbā darbinieks, papildus ikgadējai atskaitei par saimnieciskās darbības rādītājiem pēc projekta noslēguma, jāiesniedz noslēgtais darba līgums katrai </w:t>
      </w:r>
      <w:proofErr w:type="spellStart"/>
      <w:r>
        <w:rPr>
          <w:rFonts w:ascii="Times New Roman" w:eastAsia="Times New Roman" w:hAnsi="Times New Roman" w:cs="Times New Roman"/>
          <w:sz w:val="24"/>
          <w:szCs w:val="24"/>
        </w:rPr>
        <w:t>jaunizveidotajai</w:t>
      </w:r>
      <w:proofErr w:type="spellEnd"/>
      <w:r>
        <w:rPr>
          <w:rFonts w:ascii="Times New Roman" w:eastAsia="Times New Roman" w:hAnsi="Times New Roman" w:cs="Times New Roman"/>
          <w:sz w:val="24"/>
          <w:szCs w:val="24"/>
        </w:rPr>
        <w:t xml:space="preserve"> darba vietai un attiecīgā pozīcija gada atskaitē par katru uzraudzības gadu.</w:t>
      </w:r>
    </w:p>
    <w:p w14:paraId="3AB52C9F" w14:textId="77777777" w:rsidR="00C357C1" w:rsidRDefault="00C97953" w:rsidP="00AC53EA">
      <w:pPr>
        <w:numPr>
          <w:ilvl w:val="2"/>
          <w:numId w:val="6"/>
        </w:numPr>
        <w:tabs>
          <w:tab w:val="left" w:pos="709"/>
          <w:tab w:val="left" w:pos="1418"/>
          <w:tab w:val="left" w:pos="3119"/>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Rēzeknes novada pašvaldībai ir tiesības spriest par projekta nesasniegtajiem rādītājiem, vadoties pēc objektīviem apstākļiem, atļaut neatmaksāt izsniegto finansējuma summu, atļaut atmaksāt daļēju summu vai pagarināt projekta uzraudzības termiņu, pieprasot iesniegt jaunu finanšu plūsmu nākamajiem uzraudzības gadiem. </w:t>
      </w:r>
    </w:p>
    <w:p w14:paraId="537D9FC9" w14:textId="77777777" w:rsidR="00C357C1" w:rsidRDefault="00C97953" w:rsidP="00AC53EA">
      <w:pPr>
        <w:numPr>
          <w:ilvl w:val="1"/>
          <w:numId w:val="6"/>
        </w:numPr>
        <w:tabs>
          <w:tab w:val="left" w:pos="709"/>
          <w:tab w:val="left" w:pos="3119"/>
        </w:tabs>
        <w:spacing w:after="0" w:line="240" w:lineRule="auto"/>
        <w:ind w:left="0" w:hanging="2"/>
        <w:jc w:val="both"/>
        <w:rPr>
          <w:rFonts w:ascii="Times New Roman" w:eastAsia="Times New Roman" w:hAnsi="Times New Roman" w:cs="Times New Roman"/>
        </w:rPr>
      </w:pPr>
      <w:bookmarkStart w:id="13" w:name="_heading=h.3znysh7" w:colFirst="0" w:colLast="0"/>
      <w:bookmarkEnd w:id="13"/>
      <w:r>
        <w:rPr>
          <w:rFonts w:ascii="Times New Roman" w:eastAsia="Times New Roman" w:hAnsi="Times New Roman" w:cs="Times New Roman"/>
          <w:sz w:val="24"/>
          <w:szCs w:val="24"/>
        </w:rPr>
        <w:t xml:space="preserve">Finansējuma saņēmējam, kuram ir apstiprināts projekta pieteikums tūrisma jomā vai jebkurā citā darbībā, kas iekļauj arī tūrisma pakalpojuma sniegšanu, pēc projekta ieviešanas </w:t>
      </w:r>
      <w:r w:rsidRPr="00D472FA">
        <w:rPr>
          <w:rFonts w:ascii="Times New Roman" w:hAnsi="Times New Roman"/>
          <w:b/>
          <w:sz w:val="24"/>
        </w:rPr>
        <w:t>nekavējoties ir pienākums sazināties ar Rēzeknes novada Tūrisma informācijas centru</w:t>
      </w:r>
      <w:r>
        <w:rPr>
          <w:rFonts w:ascii="Times New Roman" w:eastAsia="Times New Roman" w:hAnsi="Times New Roman" w:cs="Times New Roman"/>
          <w:sz w:val="24"/>
          <w:szCs w:val="24"/>
        </w:rPr>
        <w:t xml:space="preserve"> un uzraudzības periodā tam sniegt visas prasītās ziņas par tūrisma pakalpojumiem. </w:t>
      </w:r>
      <w:bookmarkStart w:id="14" w:name="_Hlk63073205"/>
      <w:r>
        <w:rPr>
          <w:rFonts w:ascii="Times New Roman" w:eastAsia="Times New Roman" w:hAnsi="Times New Roman" w:cs="Times New Roman"/>
          <w:sz w:val="24"/>
          <w:szCs w:val="24"/>
        </w:rPr>
        <w:t xml:space="preserve">Rēzeknes novada tūrisma informācijas centra rakstveida apliecinājums par finansējuma saņēmēja sniegto tūrisma pakalpojumu informācijas saņemšanu ir iesniedzams kā papildus dokuments pie Nolikuma 8.4.2. punktā minētās pirmās ikgadējās atskaites dokumentācijas. </w:t>
      </w:r>
    </w:p>
    <w:bookmarkEnd w:id="14"/>
    <w:p w14:paraId="1567BB90" w14:textId="12CAC36B" w:rsidR="00C357C1" w:rsidRPr="00B53BCF" w:rsidRDefault="00C97953" w:rsidP="00AC53EA">
      <w:pPr>
        <w:numPr>
          <w:ilvl w:val="1"/>
          <w:numId w:val="6"/>
        </w:numPr>
        <w:tabs>
          <w:tab w:val="left" w:pos="709"/>
          <w:tab w:val="left" w:pos="3119"/>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z w:val="24"/>
          <w:szCs w:val="24"/>
        </w:rPr>
        <w:t>inansējuma saņēmējam, kuram ir apstiprināts projekts kāda produkta izveidošanā vai  uzlabošanā (amatniecība vai mājražošana) ir pienākums</w:t>
      </w:r>
      <w:r w:rsidR="00B53BCF">
        <w:rPr>
          <w:rFonts w:ascii="Times New Roman" w:eastAsia="Times New Roman" w:hAnsi="Times New Roman" w:cs="Times New Roman"/>
          <w:sz w:val="24"/>
          <w:szCs w:val="24"/>
        </w:rPr>
        <w:t>, ievērojot piešķiršanas kārtību, kas norādīta Rēzeknes novada pašvaldības Nolikumā “Par atpazīstamības un identitātes zīmes “Izlolots Rēzeknes novadā” lietošanu”,</w:t>
      </w:r>
      <w:r>
        <w:rPr>
          <w:rFonts w:ascii="Times New Roman" w:eastAsia="Times New Roman" w:hAnsi="Times New Roman" w:cs="Times New Roman"/>
          <w:sz w:val="24"/>
          <w:szCs w:val="24"/>
        </w:rPr>
        <w:t xml:space="preserve"> uz sava produkta iepakojuma lietot atpazīstamības un identitātes zīmi </w:t>
      </w:r>
      <w:r w:rsidRPr="00D472FA">
        <w:rPr>
          <w:rFonts w:ascii="Times New Roman" w:hAnsi="Times New Roman"/>
          <w:b/>
          <w:sz w:val="24"/>
        </w:rPr>
        <w:t>“Izlolots Rēzeknes novadā”</w:t>
      </w:r>
      <w:r>
        <w:rPr>
          <w:rFonts w:ascii="Times New Roman" w:eastAsia="Times New Roman" w:hAnsi="Times New Roman" w:cs="Times New Roman"/>
          <w:sz w:val="24"/>
          <w:szCs w:val="24"/>
        </w:rPr>
        <w:t>.</w:t>
      </w:r>
    </w:p>
    <w:p w14:paraId="43C31626" w14:textId="4AD540BD" w:rsidR="00B53BCF" w:rsidRDefault="00B53BCF" w:rsidP="00AC53EA">
      <w:pPr>
        <w:numPr>
          <w:ilvl w:val="1"/>
          <w:numId w:val="6"/>
        </w:numPr>
        <w:tabs>
          <w:tab w:val="left" w:pos="709"/>
          <w:tab w:val="left" w:pos="3119"/>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Finansējuma saņēmējam, kuram ir apstiprināts projekta pieteikums, pēc projekta realizācijas ir pienākums sava projekta īstenošanas adresē publiski pieejamā vietā izvietot un visu uzraudzības periodu saglabāt informatīvu materiālu ar projekta informāciju (3. pielikums)</w:t>
      </w:r>
    </w:p>
    <w:p w14:paraId="72215EB6" w14:textId="2C4B1BEE" w:rsidR="00B53BCF" w:rsidRPr="00B53BCF" w:rsidRDefault="00B53BCF" w:rsidP="00B53BCF">
      <w:pPr>
        <w:tabs>
          <w:tab w:val="left" w:pos="709"/>
          <w:tab w:val="left" w:pos="3119"/>
        </w:tabs>
        <w:spacing w:after="0" w:line="240" w:lineRule="auto"/>
        <w:ind w:leftChars="0" w:left="0" w:firstLineChars="0" w:firstLine="0"/>
        <w:jc w:val="both"/>
        <w:rPr>
          <w:rFonts w:ascii="Times New Roman" w:eastAsia="Times New Roman" w:hAnsi="Times New Roman" w:cs="Times New Roman"/>
        </w:rPr>
      </w:pPr>
      <w:r>
        <w:rPr>
          <w:rFonts w:ascii="Times New Roman" w:eastAsia="Times New Roman" w:hAnsi="Times New Roman" w:cs="Times New Roman"/>
        </w:rPr>
        <w:t>8.7.1. Ja projekta ietvaros iegādāts pārvietojams/nomājams inventārs, uz katras vienības tiek līmēta uzlīme ar projekta informāciju, iepriekš saskaņojot izmēru un izvietojumu (4. pielikums)</w:t>
      </w:r>
    </w:p>
    <w:p w14:paraId="05312236" w14:textId="77777777" w:rsidR="00FA54EB" w:rsidRPr="00FA54EB" w:rsidRDefault="00C97953" w:rsidP="00FA54EB">
      <w:pPr>
        <w:pStyle w:val="ListParagraph"/>
        <w:numPr>
          <w:ilvl w:val="1"/>
          <w:numId w:val="6"/>
        </w:numPr>
        <w:tabs>
          <w:tab w:val="left" w:pos="567"/>
        </w:tabs>
        <w:spacing w:after="0" w:line="240" w:lineRule="auto"/>
        <w:ind w:leftChars="0" w:left="2" w:firstLineChars="0" w:firstLine="0"/>
        <w:jc w:val="both"/>
        <w:rPr>
          <w:rFonts w:ascii="Times New Roman" w:eastAsia="Times New Roman" w:hAnsi="Times New Roman" w:cs="Times New Roman"/>
        </w:rPr>
      </w:pPr>
      <w:r w:rsidRPr="00FA54EB">
        <w:rPr>
          <w:rFonts w:ascii="Times New Roman" w:eastAsia="Times New Roman" w:hAnsi="Times New Roman" w:cs="Times New Roman"/>
          <w:sz w:val="24"/>
          <w:szCs w:val="24"/>
        </w:rPr>
        <w:t>Par projekta, kurš saņēmis Rēzeknes novada pašvaldības finansiālo atbalstu, sabiedrība tiek informēta ar Rēzeknes novada mājaslapas un Rēzeknes novada informatīvā izdevuma starpniecību.</w:t>
      </w:r>
    </w:p>
    <w:p w14:paraId="4596D3D5" w14:textId="6395CEF3" w:rsidR="00C357C1" w:rsidRPr="00FA54EB" w:rsidRDefault="00C97953" w:rsidP="00FA54EB">
      <w:pPr>
        <w:pStyle w:val="ListParagraph"/>
        <w:numPr>
          <w:ilvl w:val="1"/>
          <w:numId w:val="6"/>
        </w:numPr>
        <w:tabs>
          <w:tab w:val="left" w:pos="567"/>
        </w:tabs>
        <w:spacing w:after="0" w:line="240" w:lineRule="auto"/>
        <w:ind w:leftChars="0" w:left="0" w:firstLineChars="0" w:firstLine="0"/>
        <w:jc w:val="both"/>
        <w:rPr>
          <w:rFonts w:ascii="Times New Roman" w:eastAsia="Times New Roman" w:hAnsi="Times New Roman" w:cs="Times New Roman"/>
        </w:rPr>
      </w:pPr>
      <w:r w:rsidRPr="00FA54EB">
        <w:rPr>
          <w:rFonts w:ascii="Times New Roman" w:eastAsia="Times New Roman" w:hAnsi="Times New Roman" w:cs="Times New Roman"/>
          <w:sz w:val="24"/>
          <w:szCs w:val="24"/>
        </w:rPr>
        <w:t xml:space="preserve">Atbalsta saņēmēja pienākums ir glabāt visus ar </w:t>
      </w:r>
      <w:proofErr w:type="spellStart"/>
      <w:r w:rsidRPr="00FA54EB">
        <w:rPr>
          <w:rFonts w:ascii="Times New Roman" w:eastAsia="Times New Roman" w:hAnsi="Times New Roman" w:cs="Times New Roman"/>
          <w:i/>
          <w:sz w:val="24"/>
          <w:szCs w:val="24"/>
        </w:rPr>
        <w:t>de</w:t>
      </w:r>
      <w:proofErr w:type="spellEnd"/>
      <w:r w:rsidRPr="00FA54EB">
        <w:rPr>
          <w:rFonts w:ascii="Times New Roman" w:eastAsia="Times New Roman" w:hAnsi="Times New Roman" w:cs="Times New Roman"/>
          <w:i/>
          <w:sz w:val="24"/>
          <w:szCs w:val="24"/>
        </w:rPr>
        <w:t xml:space="preserve"> </w:t>
      </w:r>
      <w:proofErr w:type="spellStart"/>
      <w:r w:rsidRPr="00FA54EB">
        <w:rPr>
          <w:rFonts w:ascii="Times New Roman" w:eastAsia="Times New Roman" w:hAnsi="Times New Roman" w:cs="Times New Roman"/>
          <w:i/>
          <w:sz w:val="24"/>
          <w:szCs w:val="24"/>
        </w:rPr>
        <w:t>minimis</w:t>
      </w:r>
      <w:proofErr w:type="spellEnd"/>
      <w:r w:rsidRPr="00FA54EB">
        <w:rPr>
          <w:rFonts w:ascii="Times New Roman" w:eastAsia="Times New Roman" w:hAnsi="Times New Roman" w:cs="Times New Roman"/>
          <w:sz w:val="24"/>
          <w:szCs w:val="24"/>
        </w:rPr>
        <w:t xml:space="preserve"> saistītos datus un dokumentus 10 (desmit) fiskālos gadus no atbalsta piešķiršanas brīža jeb nolikuma 7.11. punktā minētā lēmuma pieņemšanas brīža, atbilstoši Komisijas Regulas Nr.1407/2013 6. panta 1. un 4. punktam.</w:t>
      </w:r>
    </w:p>
    <w:p w14:paraId="4649640D" w14:textId="77777777" w:rsidR="00C357C1" w:rsidRDefault="00C97953" w:rsidP="00FA54EB">
      <w:pPr>
        <w:numPr>
          <w:ilvl w:val="1"/>
          <w:numId w:val="6"/>
        </w:numPr>
        <w:pBdr>
          <w:top w:val="nil"/>
          <w:left w:val="nil"/>
          <w:bottom w:val="nil"/>
          <w:right w:val="nil"/>
          <w:between w:val="nil"/>
        </w:pBdr>
        <w:tabs>
          <w:tab w:val="left" w:pos="567"/>
        </w:tabs>
        <w:spacing w:after="0" w:line="240" w:lineRule="auto"/>
        <w:ind w:leftChars="0" w:left="2" w:firstLineChars="0" w:firstLine="0"/>
        <w:jc w:val="both"/>
        <w:rPr>
          <w:rFonts w:ascii="Times New Roman" w:eastAsia="Times New Roman" w:hAnsi="Times New Roman" w:cs="Times New Roman"/>
        </w:rPr>
      </w:pPr>
      <w:r>
        <w:rPr>
          <w:rFonts w:ascii="Times New Roman" w:eastAsia="Times New Roman" w:hAnsi="Times New Roman" w:cs="Times New Roman"/>
          <w:sz w:val="24"/>
          <w:szCs w:val="24"/>
        </w:rPr>
        <w:t xml:space="preserve">Atbilstoši Ministru kabineta 2018. gada 21. novembra noteikumiem Nr. 715 “Noteikumi par </w:t>
      </w:r>
      <w:proofErr w:type="spellStart"/>
      <w:r>
        <w:rPr>
          <w:rFonts w:ascii="Times New Roman" w:eastAsia="Times New Roman" w:hAnsi="Times New Roman" w:cs="Times New Roman"/>
          <w:i/>
          <w:sz w:val="24"/>
          <w:szCs w:val="24"/>
        </w:rPr>
        <w:t>de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minimis</w:t>
      </w:r>
      <w:proofErr w:type="spellEnd"/>
      <w:r>
        <w:rPr>
          <w:rFonts w:ascii="Times New Roman" w:eastAsia="Times New Roman" w:hAnsi="Times New Roman" w:cs="Times New Roman"/>
          <w:sz w:val="24"/>
          <w:szCs w:val="24"/>
        </w:rPr>
        <w:t xml:space="preserve"> atbalsta uzskaites un piešķiršanas kārtību un </w:t>
      </w:r>
      <w:proofErr w:type="spellStart"/>
      <w:r>
        <w:rPr>
          <w:rFonts w:ascii="Times New Roman" w:eastAsia="Times New Roman" w:hAnsi="Times New Roman" w:cs="Times New Roman"/>
          <w:i/>
          <w:sz w:val="24"/>
          <w:szCs w:val="24"/>
        </w:rPr>
        <w:t>de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minimis</w:t>
      </w:r>
      <w:proofErr w:type="spellEnd"/>
      <w:r>
        <w:rPr>
          <w:rFonts w:ascii="Times New Roman" w:eastAsia="Times New Roman" w:hAnsi="Times New Roman" w:cs="Times New Roman"/>
          <w:sz w:val="24"/>
          <w:szCs w:val="24"/>
        </w:rPr>
        <w:t xml:space="preserve"> atbalsta uzskaites veidlapu paraugiem”, atbalsta sniedzējs, pieņemot lēmumu par </w:t>
      </w:r>
      <w:proofErr w:type="spellStart"/>
      <w:r>
        <w:rPr>
          <w:rFonts w:ascii="Times New Roman" w:eastAsia="Times New Roman" w:hAnsi="Times New Roman" w:cs="Times New Roman"/>
          <w:i/>
          <w:sz w:val="24"/>
          <w:szCs w:val="24"/>
        </w:rPr>
        <w:t>de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minimis</w:t>
      </w:r>
      <w:proofErr w:type="spellEnd"/>
      <w:r>
        <w:rPr>
          <w:rFonts w:ascii="Times New Roman" w:eastAsia="Times New Roman" w:hAnsi="Times New Roman" w:cs="Times New Roman"/>
          <w:sz w:val="24"/>
          <w:szCs w:val="24"/>
        </w:rPr>
        <w:t xml:space="preserve"> atbalsta piešķiršanu finansējuma saņēmējam, veic piešķirtā atbalsta reģistrāciju </w:t>
      </w:r>
      <w:proofErr w:type="spellStart"/>
      <w:r>
        <w:rPr>
          <w:rFonts w:ascii="Times New Roman" w:eastAsia="Times New Roman" w:hAnsi="Times New Roman" w:cs="Times New Roman"/>
          <w:i/>
          <w:sz w:val="24"/>
          <w:szCs w:val="24"/>
        </w:rPr>
        <w:t>de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minimis</w:t>
      </w:r>
      <w:proofErr w:type="spellEnd"/>
      <w:r>
        <w:rPr>
          <w:rFonts w:ascii="Times New Roman" w:eastAsia="Times New Roman" w:hAnsi="Times New Roman" w:cs="Times New Roman"/>
          <w:sz w:val="24"/>
          <w:szCs w:val="24"/>
        </w:rPr>
        <w:t xml:space="preserve"> uzskaites sistēmā, ievērojot normatīvos aktus par </w:t>
      </w:r>
      <w:proofErr w:type="spellStart"/>
      <w:r>
        <w:rPr>
          <w:rFonts w:ascii="Times New Roman" w:eastAsia="Times New Roman" w:hAnsi="Times New Roman" w:cs="Times New Roman"/>
          <w:i/>
          <w:sz w:val="24"/>
          <w:szCs w:val="24"/>
        </w:rPr>
        <w:t>de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minimis</w:t>
      </w:r>
      <w:proofErr w:type="spellEnd"/>
      <w:r>
        <w:rPr>
          <w:rFonts w:ascii="Times New Roman" w:eastAsia="Times New Roman" w:hAnsi="Times New Roman" w:cs="Times New Roman"/>
          <w:sz w:val="24"/>
          <w:szCs w:val="24"/>
        </w:rPr>
        <w:t xml:space="preserve"> atbalsta uzskaites un piešķiršanas kārtību un </w:t>
      </w:r>
      <w:proofErr w:type="spellStart"/>
      <w:r>
        <w:rPr>
          <w:rFonts w:ascii="Times New Roman" w:eastAsia="Times New Roman" w:hAnsi="Times New Roman" w:cs="Times New Roman"/>
          <w:i/>
          <w:sz w:val="24"/>
          <w:szCs w:val="24"/>
        </w:rPr>
        <w:t>de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minimis</w:t>
      </w:r>
      <w:proofErr w:type="spellEnd"/>
      <w:r>
        <w:rPr>
          <w:rFonts w:ascii="Times New Roman" w:eastAsia="Times New Roman" w:hAnsi="Times New Roman" w:cs="Times New Roman"/>
          <w:sz w:val="24"/>
          <w:szCs w:val="24"/>
        </w:rPr>
        <w:t xml:space="preserve"> atbalsta uzskaites veidlapu paraugiem.</w:t>
      </w:r>
    </w:p>
    <w:p w14:paraId="0890201E" w14:textId="65BADF66" w:rsidR="00C357C1" w:rsidRPr="00FA54EB" w:rsidRDefault="00C97953" w:rsidP="00754B87">
      <w:pPr>
        <w:numPr>
          <w:ilvl w:val="1"/>
          <w:numId w:val="6"/>
        </w:numPr>
        <w:tabs>
          <w:tab w:val="left" w:pos="709"/>
          <w:tab w:val="left" w:pos="851"/>
          <w:tab w:val="left" w:pos="3119"/>
        </w:tabs>
        <w:spacing w:after="0" w:line="240" w:lineRule="auto"/>
        <w:ind w:left="0" w:hanging="2"/>
        <w:jc w:val="both"/>
        <w:rPr>
          <w:rFonts w:ascii="Times New Roman" w:eastAsia="Times New Roman" w:hAnsi="Times New Roman" w:cs="Times New Roman"/>
          <w:sz w:val="24"/>
          <w:szCs w:val="24"/>
        </w:rPr>
      </w:pPr>
      <w:r w:rsidRPr="00FA54EB">
        <w:rPr>
          <w:rFonts w:ascii="Times New Roman" w:eastAsia="Times New Roman" w:hAnsi="Times New Roman" w:cs="Times New Roman"/>
          <w:sz w:val="24"/>
          <w:szCs w:val="24"/>
        </w:rPr>
        <w:t xml:space="preserve">Atbalsta sniedzēja pienākums ir glabāt visus ar </w:t>
      </w:r>
      <w:proofErr w:type="spellStart"/>
      <w:r w:rsidRPr="00FA54EB">
        <w:rPr>
          <w:rFonts w:ascii="Times New Roman" w:eastAsia="Times New Roman" w:hAnsi="Times New Roman" w:cs="Times New Roman"/>
          <w:i/>
          <w:sz w:val="24"/>
          <w:szCs w:val="24"/>
        </w:rPr>
        <w:t>de</w:t>
      </w:r>
      <w:proofErr w:type="spellEnd"/>
      <w:r w:rsidRPr="00FA54EB">
        <w:rPr>
          <w:rFonts w:ascii="Times New Roman" w:eastAsia="Times New Roman" w:hAnsi="Times New Roman" w:cs="Times New Roman"/>
          <w:i/>
          <w:sz w:val="24"/>
          <w:szCs w:val="24"/>
        </w:rPr>
        <w:t xml:space="preserve"> </w:t>
      </w:r>
      <w:proofErr w:type="spellStart"/>
      <w:r w:rsidRPr="00FA54EB">
        <w:rPr>
          <w:rFonts w:ascii="Times New Roman" w:eastAsia="Times New Roman" w:hAnsi="Times New Roman" w:cs="Times New Roman"/>
          <w:i/>
          <w:sz w:val="24"/>
          <w:szCs w:val="24"/>
        </w:rPr>
        <w:t>minimis</w:t>
      </w:r>
      <w:proofErr w:type="spellEnd"/>
      <w:r w:rsidRPr="00FA54EB">
        <w:rPr>
          <w:rFonts w:ascii="Times New Roman" w:eastAsia="Times New Roman" w:hAnsi="Times New Roman" w:cs="Times New Roman"/>
          <w:sz w:val="24"/>
          <w:szCs w:val="24"/>
        </w:rPr>
        <w:t xml:space="preserve"> saistītos datus un dokumentus 10 (desmit) fiskālos gadus sākot no dienas, kurā </w:t>
      </w:r>
      <w:r w:rsidR="004C4B0B" w:rsidRPr="00FA54EB">
        <w:rPr>
          <w:rFonts w:ascii="Times New Roman" w:eastAsia="Times New Roman" w:hAnsi="Times New Roman" w:cs="Times New Roman"/>
          <w:sz w:val="24"/>
          <w:szCs w:val="24"/>
        </w:rPr>
        <w:t>parakstīts līgums par</w:t>
      </w:r>
      <w:r w:rsidRPr="00FA54EB">
        <w:rPr>
          <w:rFonts w:ascii="Times New Roman" w:eastAsia="Times New Roman" w:hAnsi="Times New Roman" w:cs="Times New Roman"/>
          <w:sz w:val="24"/>
          <w:szCs w:val="24"/>
        </w:rPr>
        <w:t xml:space="preserve"> pēdēj</w:t>
      </w:r>
      <w:r w:rsidR="004C4B0B" w:rsidRPr="00FA54EB">
        <w:rPr>
          <w:rFonts w:ascii="Times New Roman" w:eastAsia="Times New Roman" w:hAnsi="Times New Roman" w:cs="Times New Roman"/>
          <w:sz w:val="24"/>
          <w:szCs w:val="24"/>
        </w:rPr>
        <w:t>o</w:t>
      </w:r>
      <w:r w:rsidRPr="00FA54EB">
        <w:rPr>
          <w:rFonts w:ascii="Times New Roman" w:eastAsia="Times New Roman" w:hAnsi="Times New Roman" w:cs="Times New Roman"/>
          <w:sz w:val="24"/>
          <w:szCs w:val="24"/>
        </w:rPr>
        <w:t xml:space="preserve"> individuāl</w:t>
      </w:r>
      <w:r w:rsidR="004C4B0B" w:rsidRPr="00FA54EB">
        <w:rPr>
          <w:rFonts w:ascii="Times New Roman" w:eastAsia="Times New Roman" w:hAnsi="Times New Roman" w:cs="Times New Roman"/>
          <w:sz w:val="24"/>
          <w:szCs w:val="24"/>
        </w:rPr>
        <w:t>o</w:t>
      </w:r>
      <w:r w:rsidRPr="00FA54EB">
        <w:rPr>
          <w:rFonts w:ascii="Times New Roman" w:eastAsia="Times New Roman" w:hAnsi="Times New Roman" w:cs="Times New Roman"/>
          <w:sz w:val="24"/>
          <w:szCs w:val="24"/>
        </w:rPr>
        <w:t xml:space="preserve"> atbalst</w:t>
      </w:r>
      <w:r w:rsidR="004C4B0B" w:rsidRPr="00FA54EB">
        <w:rPr>
          <w:rFonts w:ascii="Times New Roman" w:eastAsia="Times New Roman" w:hAnsi="Times New Roman" w:cs="Times New Roman"/>
          <w:sz w:val="24"/>
          <w:szCs w:val="24"/>
        </w:rPr>
        <w:t>a saņemšanu</w:t>
      </w:r>
      <w:r w:rsidRPr="00FA54EB">
        <w:rPr>
          <w:rFonts w:ascii="Times New Roman" w:eastAsia="Times New Roman" w:hAnsi="Times New Roman" w:cs="Times New Roman"/>
          <w:sz w:val="24"/>
          <w:szCs w:val="24"/>
        </w:rPr>
        <w:t>, atbilstoši Komisijas Regulas Nr.1407/2013 6. panta 1. un 4. punktam.</w:t>
      </w:r>
      <w:r w:rsidRPr="00D472FA">
        <w:br w:type="page"/>
      </w:r>
    </w:p>
    <w:p w14:paraId="1C2CC6C3" w14:textId="77777777" w:rsidR="00C357C1" w:rsidRDefault="00C97953" w:rsidP="00D472FA">
      <w:pPr>
        <w:tabs>
          <w:tab w:val="left" w:pos="709"/>
          <w:tab w:val="left" w:pos="851"/>
          <w:tab w:val="left" w:pos="3119"/>
        </w:tabs>
        <w:spacing w:after="0" w:line="240" w:lineRule="auto"/>
        <w:ind w:left="0" w:hanging="2"/>
        <w:jc w:val="right"/>
        <w:rPr>
          <w:rFonts w:ascii="Times New Roman" w:eastAsia="Times New Roman" w:hAnsi="Times New Roman" w:cs="Times New Roman"/>
        </w:rPr>
      </w:pPr>
      <w:r>
        <w:rPr>
          <w:rFonts w:ascii="Times New Roman" w:eastAsia="Times New Roman" w:hAnsi="Times New Roman" w:cs="Times New Roman"/>
          <w:i/>
        </w:rPr>
        <w:lastRenderedPageBreak/>
        <w:t>1</w:t>
      </w:r>
      <w:r>
        <w:rPr>
          <w:rFonts w:ascii="Times New Roman" w:eastAsia="Times New Roman" w:hAnsi="Times New Roman" w:cs="Times New Roman"/>
        </w:rPr>
        <w:t>.</w:t>
      </w:r>
      <w:r>
        <w:rPr>
          <w:rFonts w:ascii="Times New Roman" w:eastAsia="Times New Roman" w:hAnsi="Times New Roman" w:cs="Times New Roman"/>
          <w:i/>
        </w:rPr>
        <w:t>pielikums</w:t>
      </w:r>
    </w:p>
    <w:p w14:paraId="7CD1F297" w14:textId="77777777" w:rsidR="00C357C1" w:rsidRDefault="00C357C1" w:rsidP="00D472FA">
      <w:pPr>
        <w:tabs>
          <w:tab w:val="left" w:pos="709"/>
          <w:tab w:val="left" w:pos="851"/>
          <w:tab w:val="left" w:pos="3119"/>
        </w:tabs>
        <w:spacing w:after="0" w:line="240" w:lineRule="auto"/>
        <w:ind w:left="0" w:hanging="2"/>
        <w:jc w:val="right"/>
        <w:rPr>
          <w:rFonts w:ascii="Times New Roman" w:eastAsia="Times New Roman" w:hAnsi="Times New Roman" w:cs="Times New Roman"/>
        </w:rPr>
      </w:pPr>
    </w:p>
    <w:p w14:paraId="1D547D33" w14:textId="77777777" w:rsidR="00C357C1" w:rsidRDefault="00C357C1" w:rsidP="00D472FA">
      <w:pPr>
        <w:tabs>
          <w:tab w:val="left" w:pos="709"/>
          <w:tab w:val="left" w:pos="851"/>
          <w:tab w:val="left" w:pos="3119"/>
        </w:tabs>
        <w:spacing w:after="0" w:line="240" w:lineRule="auto"/>
        <w:ind w:left="0" w:hanging="2"/>
        <w:jc w:val="both"/>
        <w:rPr>
          <w:rFonts w:ascii="Times New Roman" w:eastAsia="Times New Roman" w:hAnsi="Times New Roman" w:cs="Times New Roman"/>
        </w:rPr>
      </w:pPr>
    </w:p>
    <w:p w14:paraId="4D53C832" w14:textId="77777777" w:rsidR="00C357C1" w:rsidRDefault="00C97953" w:rsidP="00D472FA">
      <w:pPr>
        <w:tabs>
          <w:tab w:val="left" w:pos="709"/>
          <w:tab w:val="left" w:pos="851"/>
          <w:tab w:val="left" w:pos="3119"/>
        </w:tabs>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KOMISIJAS REGULA (ES) Nr. 1407/2013</w:t>
      </w:r>
    </w:p>
    <w:p w14:paraId="2234089F" w14:textId="77777777" w:rsidR="00C357C1" w:rsidRDefault="00C97953" w:rsidP="00D472FA">
      <w:pPr>
        <w:tabs>
          <w:tab w:val="left" w:pos="709"/>
          <w:tab w:val="left" w:pos="851"/>
          <w:tab w:val="left" w:pos="3119"/>
        </w:tabs>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(2013. gada 18. decembris)</w:t>
      </w:r>
    </w:p>
    <w:p w14:paraId="413B892A" w14:textId="77777777" w:rsidR="00C357C1" w:rsidRDefault="00C97953" w:rsidP="00D472FA">
      <w:pPr>
        <w:tabs>
          <w:tab w:val="left" w:pos="709"/>
          <w:tab w:val="left" w:pos="851"/>
          <w:tab w:val="left" w:pos="3119"/>
        </w:tabs>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 xml:space="preserve">par Līguma par Eiropas Savienības darbību 107. un 108. panta piemērošanu </w:t>
      </w:r>
      <w:proofErr w:type="spellStart"/>
      <w:r>
        <w:rPr>
          <w:rFonts w:ascii="Times New Roman" w:eastAsia="Times New Roman" w:hAnsi="Times New Roman" w:cs="Times New Roman"/>
          <w:i/>
        </w:rPr>
        <w:t>de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minimis</w:t>
      </w:r>
      <w:proofErr w:type="spellEnd"/>
      <w:r>
        <w:rPr>
          <w:rFonts w:ascii="Times New Roman" w:eastAsia="Times New Roman" w:hAnsi="Times New Roman" w:cs="Times New Roman"/>
        </w:rPr>
        <w:t xml:space="preserve"> atbalstam</w:t>
      </w:r>
    </w:p>
    <w:p w14:paraId="2409DC16" w14:textId="77777777" w:rsidR="00C357C1" w:rsidRDefault="00C357C1" w:rsidP="00D472FA">
      <w:pPr>
        <w:tabs>
          <w:tab w:val="left" w:pos="709"/>
          <w:tab w:val="left" w:pos="851"/>
          <w:tab w:val="left" w:pos="3119"/>
        </w:tabs>
        <w:spacing w:after="0" w:line="240" w:lineRule="auto"/>
        <w:ind w:left="0" w:hanging="2"/>
        <w:jc w:val="both"/>
        <w:rPr>
          <w:rFonts w:ascii="Times New Roman" w:eastAsia="Times New Roman" w:hAnsi="Times New Roman" w:cs="Times New Roman"/>
        </w:rPr>
      </w:pPr>
    </w:p>
    <w:p w14:paraId="294D0AF1" w14:textId="77777777" w:rsidR="00C357C1" w:rsidRDefault="00C357C1" w:rsidP="00D472FA">
      <w:pPr>
        <w:tabs>
          <w:tab w:val="left" w:pos="709"/>
          <w:tab w:val="left" w:pos="851"/>
          <w:tab w:val="left" w:pos="3119"/>
        </w:tabs>
        <w:spacing w:after="0" w:line="240" w:lineRule="auto"/>
        <w:ind w:left="0" w:hanging="2"/>
        <w:jc w:val="both"/>
        <w:rPr>
          <w:rFonts w:ascii="Times New Roman" w:eastAsia="Times New Roman" w:hAnsi="Times New Roman" w:cs="Times New Roman"/>
        </w:rPr>
      </w:pPr>
    </w:p>
    <w:p w14:paraId="0BA975F4" w14:textId="77777777" w:rsidR="00C357C1" w:rsidRDefault="00C97953" w:rsidP="00D472FA">
      <w:pPr>
        <w:tabs>
          <w:tab w:val="left" w:pos="709"/>
          <w:tab w:val="left" w:pos="851"/>
          <w:tab w:val="left" w:pos="3119"/>
        </w:tabs>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1. pants</w:t>
      </w:r>
    </w:p>
    <w:p w14:paraId="7F1EC02B" w14:textId="77777777" w:rsidR="00C357C1" w:rsidRDefault="00C357C1" w:rsidP="00D472FA">
      <w:pPr>
        <w:tabs>
          <w:tab w:val="left" w:pos="709"/>
          <w:tab w:val="left" w:pos="851"/>
          <w:tab w:val="left" w:pos="3119"/>
        </w:tabs>
        <w:spacing w:after="0" w:line="240" w:lineRule="auto"/>
        <w:ind w:left="0" w:hanging="2"/>
        <w:jc w:val="both"/>
        <w:rPr>
          <w:rFonts w:ascii="Times New Roman" w:eastAsia="Times New Roman" w:hAnsi="Times New Roman" w:cs="Times New Roman"/>
        </w:rPr>
      </w:pPr>
    </w:p>
    <w:p w14:paraId="59BF2A1B" w14:textId="77777777" w:rsidR="00C357C1" w:rsidRDefault="00C97953" w:rsidP="00D472FA">
      <w:pPr>
        <w:tabs>
          <w:tab w:val="left" w:pos="709"/>
          <w:tab w:val="left" w:pos="851"/>
          <w:tab w:val="left" w:pos="3119"/>
        </w:tabs>
        <w:spacing w:after="0"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Darbības joma</w:t>
      </w:r>
    </w:p>
    <w:p w14:paraId="15BF2AA6" w14:textId="77777777" w:rsidR="00C357C1" w:rsidRPr="00D472FA" w:rsidRDefault="00C97953" w:rsidP="00D472FA">
      <w:pPr>
        <w:tabs>
          <w:tab w:val="left" w:pos="709"/>
          <w:tab w:val="left" w:pos="851"/>
          <w:tab w:val="left" w:pos="3119"/>
        </w:tabs>
        <w:spacing w:after="0" w:line="240" w:lineRule="auto"/>
        <w:ind w:left="0" w:hanging="2"/>
        <w:jc w:val="center"/>
        <w:rPr>
          <w:rFonts w:ascii="Times New Roman" w:hAnsi="Times New Roman"/>
          <w:b/>
          <w:i/>
        </w:rPr>
      </w:pPr>
      <w:r w:rsidRPr="00D472FA">
        <w:rPr>
          <w:rFonts w:ascii="Times New Roman" w:hAnsi="Times New Roman"/>
          <w:b/>
          <w:i/>
        </w:rPr>
        <w:t>Neatbalstāmās nozares/darbības</w:t>
      </w:r>
    </w:p>
    <w:p w14:paraId="61D3D7CD" w14:textId="77777777" w:rsidR="00C357C1" w:rsidRDefault="00C357C1" w:rsidP="00D472FA">
      <w:pPr>
        <w:tabs>
          <w:tab w:val="left" w:pos="709"/>
          <w:tab w:val="left" w:pos="851"/>
          <w:tab w:val="left" w:pos="3119"/>
        </w:tabs>
        <w:spacing w:after="0" w:line="240" w:lineRule="auto"/>
        <w:ind w:left="0" w:hanging="2"/>
        <w:jc w:val="center"/>
        <w:rPr>
          <w:rFonts w:ascii="Times New Roman" w:eastAsia="Times New Roman" w:hAnsi="Times New Roman" w:cs="Times New Roman"/>
          <w:b/>
        </w:rPr>
      </w:pPr>
    </w:p>
    <w:p w14:paraId="170AC7D7" w14:textId="77777777" w:rsidR="00C357C1" w:rsidRDefault="00C97953" w:rsidP="00D472FA">
      <w:pPr>
        <w:tabs>
          <w:tab w:val="left" w:pos="709"/>
          <w:tab w:val="left" w:pos="851"/>
          <w:tab w:val="left" w:pos="3119"/>
        </w:tabs>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1. Šo regulu piemēro visu nozaru uzņēmumiem piešķirtam atbalstam, izņemot:</w:t>
      </w:r>
    </w:p>
    <w:p w14:paraId="13A139F5" w14:textId="77777777" w:rsidR="00C357C1" w:rsidRDefault="00C97953" w:rsidP="00D472FA">
      <w:pPr>
        <w:tabs>
          <w:tab w:val="left" w:pos="709"/>
          <w:tab w:val="left" w:pos="851"/>
          <w:tab w:val="left" w:pos="3119"/>
        </w:tabs>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a) atbalstu, ko piešķir </w:t>
      </w:r>
      <w:r w:rsidRPr="00D472FA">
        <w:rPr>
          <w:rFonts w:ascii="Times New Roman" w:hAnsi="Times New Roman"/>
          <w:b/>
          <w:i/>
        </w:rPr>
        <w:t>uzņēmumiem, kuri darbojas zvejniecības un akvakultūras nozarē</w:t>
      </w:r>
      <w:r>
        <w:rPr>
          <w:rFonts w:ascii="Times New Roman" w:eastAsia="Times New Roman" w:hAnsi="Times New Roman" w:cs="Times New Roman"/>
        </w:rPr>
        <w:t>, uz ko attiecas Padomes Regula (EK) Nr. 104/2000 (1);</w:t>
      </w:r>
    </w:p>
    <w:p w14:paraId="2B391DFC" w14:textId="77777777" w:rsidR="00C357C1" w:rsidRDefault="00C97953" w:rsidP="00D472FA">
      <w:pPr>
        <w:tabs>
          <w:tab w:val="left" w:pos="709"/>
          <w:tab w:val="left" w:pos="851"/>
          <w:tab w:val="left" w:pos="3119"/>
        </w:tabs>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b) atbalstu, ko piešķir </w:t>
      </w:r>
      <w:r w:rsidRPr="00D472FA">
        <w:rPr>
          <w:rFonts w:ascii="Times New Roman" w:hAnsi="Times New Roman"/>
          <w:b/>
          <w:i/>
        </w:rPr>
        <w:t>uzņēmumiem, kuri nodarbojas ar lauksaimniecības produktu primāro ražošanu</w:t>
      </w:r>
      <w:r>
        <w:rPr>
          <w:rFonts w:ascii="Times New Roman" w:eastAsia="Times New Roman" w:hAnsi="Times New Roman" w:cs="Times New Roman"/>
        </w:rPr>
        <w:t>;</w:t>
      </w:r>
    </w:p>
    <w:p w14:paraId="494005F1" w14:textId="77777777" w:rsidR="00C357C1" w:rsidRPr="00D472FA" w:rsidRDefault="00C97953" w:rsidP="00D472FA">
      <w:pPr>
        <w:tabs>
          <w:tab w:val="left" w:pos="709"/>
          <w:tab w:val="left" w:pos="851"/>
          <w:tab w:val="left" w:pos="3119"/>
        </w:tabs>
        <w:spacing w:after="0" w:line="360" w:lineRule="auto"/>
        <w:ind w:left="0" w:hanging="2"/>
        <w:jc w:val="both"/>
        <w:rPr>
          <w:rFonts w:ascii="Times New Roman" w:hAnsi="Times New Roman"/>
          <w:i/>
        </w:rPr>
      </w:pPr>
      <w:r>
        <w:rPr>
          <w:rFonts w:ascii="Times New Roman" w:eastAsia="Times New Roman" w:hAnsi="Times New Roman" w:cs="Times New Roman"/>
        </w:rPr>
        <w:t xml:space="preserve">c) atbalstu, ko piešķir </w:t>
      </w:r>
      <w:r w:rsidRPr="00D472FA">
        <w:rPr>
          <w:rFonts w:ascii="Times New Roman" w:hAnsi="Times New Roman"/>
          <w:b/>
          <w:i/>
        </w:rPr>
        <w:t>uzņēmumiem, kuri darbojas lauksaimniecības produktu pārstrādes un tirdzniecības nozarē</w:t>
      </w:r>
      <w:r>
        <w:rPr>
          <w:rFonts w:ascii="Times New Roman" w:eastAsia="Times New Roman" w:hAnsi="Times New Roman" w:cs="Times New Roman"/>
        </w:rPr>
        <w:t xml:space="preserve">, </w:t>
      </w:r>
      <w:r w:rsidRPr="00D472FA">
        <w:rPr>
          <w:rFonts w:ascii="Times New Roman" w:hAnsi="Times New Roman"/>
          <w:i/>
        </w:rPr>
        <w:t>šādos gadījumos:</w:t>
      </w:r>
    </w:p>
    <w:p w14:paraId="3830CDA3" w14:textId="77777777" w:rsidR="00C357C1" w:rsidRDefault="00C97953" w:rsidP="00D472FA">
      <w:pPr>
        <w:tabs>
          <w:tab w:val="left" w:pos="709"/>
          <w:tab w:val="left" w:pos="851"/>
          <w:tab w:val="left" w:pos="3119"/>
        </w:tabs>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i) ja atbalsta summa ir noteikta, pamatojoties uz šādu produktu, kurus attiecīgais uzņēmums iepircis no primārajiem ražotājiem vai laidis tirgū, cenu vai daudzumu;</w:t>
      </w:r>
    </w:p>
    <w:p w14:paraId="434DACF3" w14:textId="77777777" w:rsidR="00C357C1" w:rsidRDefault="00C97953" w:rsidP="00D472FA">
      <w:pPr>
        <w:tabs>
          <w:tab w:val="left" w:pos="709"/>
          <w:tab w:val="left" w:pos="851"/>
          <w:tab w:val="left" w:pos="3119"/>
        </w:tabs>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ii) ja atbalstu piešķir ar nosacījumu, ka to daļēji vai pilnībā nodod primārajiem ražotājiem;</w:t>
      </w:r>
    </w:p>
    <w:p w14:paraId="15F0ABBD" w14:textId="77777777" w:rsidR="00C357C1" w:rsidRDefault="00C97953" w:rsidP="00D472FA">
      <w:pPr>
        <w:tabs>
          <w:tab w:val="left" w:pos="709"/>
          <w:tab w:val="left" w:pos="851"/>
          <w:tab w:val="left" w:pos="3119"/>
        </w:tabs>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d) atbalstu darbībām, kas saistītas ar eksportu uz </w:t>
      </w:r>
      <w:proofErr w:type="spellStart"/>
      <w:r>
        <w:rPr>
          <w:rFonts w:ascii="Times New Roman" w:eastAsia="Times New Roman" w:hAnsi="Times New Roman" w:cs="Times New Roman"/>
        </w:rPr>
        <w:t>trešām</w:t>
      </w:r>
      <w:proofErr w:type="spellEnd"/>
      <w:r>
        <w:rPr>
          <w:rFonts w:ascii="Times New Roman" w:eastAsia="Times New Roman" w:hAnsi="Times New Roman" w:cs="Times New Roman"/>
        </w:rPr>
        <w:t xml:space="preserve"> valstīm vai dalībvalstīm, tas ir, atbalstu, kas tieši saistīts ar eksportētajiem daudzumiem, izplatīšanas tīkla izveidi un darbību vai citiem kārtējiem izdevumiem, kas saistīti ar eksporta darbībām;</w:t>
      </w:r>
    </w:p>
    <w:p w14:paraId="4CF933BF" w14:textId="77777777" w:rsidR="00C357C1" w:rsidRDefault="00C97953" w:rsidP="00D472FA">
      <w:pPr>
        <w:tabs>
          <w:tab w:val="left" w:pos="709"/>
          <w:tab w:val="left" w:pos="851"/>
          <w:tab w:val="left" w:pos="3119"/>
        </w:tabs>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e) atbalstu, ko piešķir ar nosacījumu, ka importa preču vietā</w:t>
      </w:r>
    </w:p>
    <w:p w14:paraId="0F43082C" w14:textId="77777777" w:rsidR="00C357C1" w:rsidRDefault="00C97953" w:rsidP="00D472FA">
      <w:pPr>
        <w:tabs>
          <w:tab w:val="left" w:pos="709"/>
          <w:tab w:val="left" w:pos="851"/>
          <w:tab w:val="left" w:pos="3119"/>
        </w:tabs>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tiek izmantotas vietējās preces.</w:t>
      </w:r>
    </w:p>
    <w:p w14:paraId="199D3509" w14:textId="77777777" w:rsidR="00C357C1" w:rsidRDefault="00C97953" w:rsidP="00D472FA">
      <w:pPr>
        <w:tabs>
          <w:tab w:val="left" w:pos="709"/>
          <w:tab w:val="left" w:pos="851"/>
          <w:tab w:val="left" w:pos="3119"/>
        </w:tabs>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2. Ja uzņēmums darbojas gan nozarēs, kas minētas 1. punkta</w:t>
      </w:r>
    </w:p>
    <w:p w14:paraId="3F0864D3" w14:textId="77777777" w:rsidR="00C357C1" w:rsidRDefault="00C97953" w:rsidP="00D472FA">
      <w:pPr>
        <w:tabs>
          <w:tab w:val="left" w:pos="709"/>
          <w:tab w:val="left" w:pos="851"/>
          <w:tab w:val="left" w:pos="3119"/>
        </w:tabs>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a), b) vai c) apakšpunktā, gan vienā vai vairākās nozarēs vai citās darbības jomās, uz kurām attiecas šīs regulas darbības joma, atbalstam, ko piešķir pēdējām minētajām nozarēm vai darbībām, šo regulu piemēro ar nosacījumu, ka attiecīgā dalībvalsts ar tādiem piemērotiem līdzekļiem kā darbības vai izmaksu nošķiršana nodrošina, ka darbības nozarēs, kuras ir izslēgtas no šīs regulas darbības jomas, negūst labumu no </w:t>
      </w:r>
      <w:proofErr w:type="spellStart"/>
      <w:r>
        <w:rPr>
          <w:rFonts w:ascii="Times New Roman" w:eastAsia="Times New Roman" w:hAnsi="Times New Roman" w:cs="Times New Roman"/>
          <w:i/>
        </w:rPr>
        <w:t>de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minimis</w:t>
      </w:r>
      <w:proofErr w:type="spellEnd"/>
    </w:p>
    <w:p w14:paraId="4010C23A" w14:textId="77777777" w:rsidR="00C357C1" w:rsidRDefault="00C97953" w:rsidP="00D472FA">
      <w:pPr>
        <w:tabs>
          <w:tab w:val="left" w:pos="709"/>
          <w:tab w:val="left" w:pos="851"/>
          <w:tab w:val="left" w:pos="3119"/>
        </w:tabs>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atbalsta, ko piešķir saskaņā ar šo regulu.</w:t>
      </w:r>
    </w:p>
    <w:p w14:paraId="5DF80129" w14:textId="77777777" w:rsidR="00C357C1" w:rsidRDefault="00C97953" w:rsidP="00D472FA">
      <w:pPr>
        <w:ind w:left="0" w:hanging="2"/>
        <w:rPr>
          <w:rFonts w:ascii="Times New Roman" w:eastAsia="Times New Roman" w:hAnsi="Times New Roman" w:cs="Times New Roman"/>
        </w:rPr>
      </w:pPr>
      <w:r w:rsidRPr="00D472FA">
        <w:br w:type="page"/>
      </w:r>
    </w:p>
    <w:p w14:paraId="0E5176C9" w14:textId="77777777" w:rsidR="00C357C1" w:rsidRDefault="00C97953" w:rsidP="00D472FA">
      <w:pPr>
        <w:tabs>
          <w:tab w:val="left" w:pos="709"/>
          <w:tab w:val="left" w:pos="851"/>
          <w:tab w:val="left" w:pos="3119"/>
        </w:tabs>
        <w:spacing w:after="0" w:line="360" w:lineRule="auto"/>
        <w:ind w:left="0" w:hanging="2"/>
        <w:jc w:val="right"/>
        <w:rPr>
          <w:rFonts w:ascii="Times New Roman" w:eastAsia="Times New Roman" w:hAnsi="Times New Roman" w:cs="Times New Roman"/>
          <w:i/>
        </w:rPr>
      </w:pPr>
      <w:r>
        <w:rPr>
          <w:rFonts w:ascii="Times New Roman" w:eastAsia="Times New Roman" w:hAnsi="Times New Roman" w:cs="Times New Roman"/>
          <w:i/>
        </w:rPr>
        <w:lastRenderedPageBreak/>
        <w:t>2. pielikums</w:t>
      </w:r>
    </w:p>
    <w:p w14:paraId="6646BE48" w14:textId="77777777" w:rsidR="00C357C1" w:rsidRDefault="00C357C1" w:rsidP="00D472FA">
      <w:pPr>
        <w:tabs>
          <w:tab w:val="left" w:pos="709"/>
          <w:tab w:val="left" w:pos="851"/>
          <w:tab w:val="left" w:pos="3119"/>
        </w:tabs>
        <w:spacing w:after="0" w:line="360" w:lineRule="auto"/>
        <w:ind w:left="0" w:hanging="2"/>
        <w:jc w:val="both"/>
        <w:rPr>
          <w:rFonts w:ascii="Times New Roman" w:eastAsia="Times New Roman" w:hAnsi="Times New Roman" w:cs="Times New Roman"/>
        </w:rPr>
      </w:pPr>
    </w:p>
    <w:p w14:paraId="42FEB203" w14:textId="77777777" w:rsidR="00C357C1" w:rsidRDefault="00C357C1" w:rsidP="00D472FA">
      <w:pPr>
        <w:tabs>
          <w:tab w:val="left" w:pos="709"/>
          <w:tab w:val="left" w:pos="851"/>
          <w:tab w:val="left" w:pos="3119"/>
        </w:tabs>
        <w:spacing w:after="0" w:line="360" w:lineRule="auto"/>
        <w:ind w:left="0" w:hanging="2"/>
        <w:jc w:val="both"/>
        <w:rPr>
          <w:rFonts w:ascii="Times New Roman" w:eastAsia="Times New Roman" w:hAnsi="Times New Roman" w:cs="Times New Roman"/>
        </w:rPr>
      </w:pPr>
    </w:p>
    <w:p w14:paraId="3FFFFF79" w14:textId="77777777" w:rsidR="00C357C1" w:rsidRDefault="00C97953">
      <w:pPr>
        <w:spacing w:after="0" w:line="240" w:lineRule="auto"/>
        <w:ind w:left="1" w:hanging="3"/>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Būvmateriālu tāme</w:t>
      </w:r>
      <w:r>
        <w:rPr>
          <w:rFonts w:ascii="Times New Roman" w:eastAsia="Times New Roman" w:hAnsi="Times New Roman" w:cs="Times New Roman"/>
          <w:sz w:val="24"/>
          <w:szCs w:val="24"/>
        </w:rPr>
        <w:t xml:space="preserve"> </w:t>
      </w:r>
    </w:p>
    <w:p w14:paraId="5AF88B63" w14:textId="77777777" w:rsidR="00C357C1" w:rsidRDefault="00C357C1">
      <w:pPr>
        <w:spacing w:after="0" w:line="240" w:lineRule="auto"/>
        <w:ind w:left="0" w:hanging="2"/>
        <w:jc w:val="center"/>
        <w:rPr>
          <w:rFonts w:ascii="Times New Roman" w:eastAsia="Times New Roman" w:hAnsi="Times New Roman" w:cs="Times New Roman"/>
          <w:sz w:val="24"/>
          <w:szCs w:val="24"/>
        </w:rPr>
      </w:pPr>
    </w:p>
    <w:tbl>
      <w:tblPr>
        <w:tblStyle w:val="a2"/>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65"/>
        <w:gridCol w:w="1245"/>
        <w:gridCol w:w="1155"/>
        <w:gridCol w:w="1410"/>
        <w:gridCol w:w="1425"/>
        <w:gridCol w:w="992"/>
      </w:tblGrid>
      <w:tr w:rsidR="00C357C1" w14:paraId="6C27ECFD" w14:textId="77777777" w:rsidTr="00D472FA">
        <w:tc>
          <w:tcPr>
            <w:tcW w:w="562" w:type="dxa"/>
          </w:tcPr>
          <w:p w14:paraId="0C084B48" w14:textId="77777777" w:rsidR="00C357C1" w:rsidRDefault="00C97953">
            <w:pPr>
              <w:spacing w:after="0" w:line="240" w:lineRule="auto"/>
              <w:ind w:left="0" w:hanging="2"/>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N.p.k</w:t>
            </w:r>
            <w:proofErr w:type="spellEnd"/>
            <w:r>
              <w:rPr>
                <w:rFonts w:ascii="Times New Roman" w:eastAsia="Times New Roman" w:hAnsi="Times New Roman" w:cs="Times New Roman"/>
                <w:b/>
                <w:sz w:val="20"/>
                <w:szCs w:val="20"/>
              </w:rPr>
              <w:t>.</w:t>
            </w:r>
          </w:p>
        </w:tc>
        <w:tc>
          <w:tcPr>
            <w:tcW w:w="2565" w:type="dxa"/>
          </w:tcPr>
          <w:p w14:paraId="353CB55D" w14:textId="77777777" w:rsidR="00C357C1" w:rsidRDefault="00C97953">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Nosaukums* </w:t>
            </w:r>
          </w:p>
        </w:tc>
        <w:tc>
          <w:tcPr>
            <w:tcW w:w="1245" w:type="dxa"/>
          </w:tcPr>
          <w:p w14:paraId="75069111" w14:textId="77777777" w:rsidR="00C357C1" w:rsidRDefault="00C97953">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Mērvienība </w:t>
            </w:r>
          </w:p>
        </w:tc>
        <w:tc>
          <w:tcPr>
            <w:tcW w:w="1155" w:type="dxa"/>
          </w:tcPr>
          <w:p w14:paraId="17F822AD" w14:textId="77777777" w:rsidR="00C357C1" w:rsidRDefault="00C97953">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Daudzums</w:t>
            </w:r>
          </w:p>
        </w:tc>
        <w:tc>
          <w:tcPr>
            <w:tcW w:w="1410" w:type="dxa"/>
            <w:tcBorders>
              <w:right w:val="single" w:sz="4" w:space="0" w:color="000000"/>
            </w:tcBorders>
          </w:tcPr>
          <w:p w14:paraId="25571719" w14:textId="77777777" w:rsidR="00C357C1" w:rsidRDefault="00C97953" w:rsidP="00D472FA">
            <w:pPr>
              <w:spacing w:after="0" w:line="240" w:lineRule="auto"/>
              <w:ind w:left="0"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Vienības cena </w:t>
            </w:r>
          </w:p>
          <w:p w14:paraId="191DE22A" w14:textId="77777777" w:rsidR="00C357C1" w:rsidRDefault="00C97953" w:rsidP="00D472FA">
            <w:pPr>
              <w:spacing w:after="0" w:line="240" w:lineRule="auto"/>
              <w:ind w:left="0"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(EUR</w:t>
            </w:r>
          </w:p>
          <w:p w14:paraId="2A7A350F" w14:textId="77777777" w:rsidR="00C357C1" w:rsidRDefault="00C97953" w:rsidP="00D472FA">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bez PVN)</w:t>
            </w:r>
          </w:p>
        </w:tc>
        <w:tc>
          <w:tcPr>
            <w:tcW w:w="1425" w:type="dxa"/>
            <w:tcBorders>
              <w:left w:val="single" w:sz="4" w:space="0" w:color="000000"/>
            </w:tcBorders>
          </w:tcPr>
          <w:p w14:paraId="2D524516" w14:textId="77777777" w:rsidR="00C357C1" w:rsidRDefault="00C97953" w:rsidP="00D472FA">
            <w:pPr>
              <w:spacing w:after="0" w:line="240" w:lineRule="auto"/>
              <w:ind w:left="0"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Vienības cena </w:t>
            </w:r>
          </w:p>
          <w:p w14:paraId="48311F27" w14:textId="77777777" w:rsidR="00C357C1" w:rsidRDefault="00C97953" w:rsidP="00D472FA">
            <w:pPr>
              <w:spacing w:after="0" w:line="240" w:lineRule="auto"/>
              <w:ind w:left="0"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(EUR</w:t>
            </w:r>
          </w:p>
          <w:p w14:paraId="1F8503EC" w14:textId="77777777" w:rsidR="00C357C1" w:rsidRDefault="00C97953" w:rsidP="00D472FA">
            <w:pPr>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ar PVN)</w:t>
            </w:r>
          </w:p>
          <w:p w14:paraId="4CF425A9" w14:textId="77777777" w:rsidR="00C357C1" w:rsidRDefault="00C357C1" w:rsidP="00D472FA">
            <w:pPr>
              <w:spacing w:after="0" w:line="240" w:lineRule="auto"/>
              <w:ind w:left="0" w:hanging="2"/>
              <w:rPr>
                <w:rFonts w:ascii="Times New Roman" w:eastAsia="Times New Roman" w:hAnsi="Times New Roman" w:cs="Times New Roman"/>
                <w:sz w:val="20"/>
                <w:szCs w:val="20"/>
              </w:rPr>
            </w:pPr>
          </w:p>
        </w:tc>
        <w:tc>
          <w:tcPr>
            <w:tcW w:w="992" w:type="dxa"/>
          </w:tcPr>
          <w:p w14:paraId="4D55B5B0" w14:textId="77777777" w:rsidR="00C357C1" w:rsidRDefault="00C97953">
            <w:pPr>
              <w:spacing w:after="0"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Summa (EUR)</w:t>
            </w:r>
          </w:p>
        </w:tc>
      </w:tr>
      <w:tr w:rsidR="00C357C1" w14:paraId="65BEC72F" w14:textId="77777777" w:rsidTr="00D472FA">
        <w:tc>
          <w:tcPr>
            <w:tcW w:w="562" w:type="dxa"/>
          </w:tcPr>
          <w:p w14:paraId="52BB8DC3" w14:textId="77777777" w:rsidR="00C357C1" w:rsidRDefault="00C357C1" w:rsidP="00D472FA">
            <w:pPr>
              <w:numPr>
                <w:ilvl w:val="0"/>
                <w:numId w:val="2"/>
              </w:numPr>
              <w:spacing w:after="0" w:line="240" w:lineRule="auto"/>
              <w:ind w:left="0" w:hanging="2"/>
              <w:rPr>
                <w:rFonts w:ascii="Times New Roman" w:eastAsia="Times New Roman" w:hAnsi="Times New Roman" w:cs="Times New Roman"/>
                <w:sz w:val="20"/>
                <w:szCs w:val="20"/>
              </w:rPr>
            </w:pPr>
          </w:p>
        </w:tc>
        <w:tc>
          <w:tcPr>
            <w:tcW w:w="2565" w:type="dxa"/>
          </w:tcPr>
          <w:p w14:paraId="003A4264"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245" w:type="dxa"/>
          </w:tcPr>
          <w:p w14:paraId="5611B3EB"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155" w:type="dxa"/>
          </w:tcPr>
          <w:p w14:paraId="0030240E"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000000"/>
            </w:tcBorders>
          </w:tcPr>
          <w:p w14:paraId="51E3DB3E" w14:textId="77777777" w:rsidR="00C357C1" w:rsidRDefault="00C357C1">
            <w:pPr>
              <w:spacing w:after="0" w:line="240" w:lineRule="auto"/>
              <w:ind w:left="0" w:hanging="2"/>
              <w:jc w:val="center"/>
              <w:rPr>
                <w:rFonts w:ascii="Times New Roman" w:eastAsia="Times New Roman" w:hAnsi="Times New Roman" w:cs="Times New Roman"/>
                <w:b/>
                <w:sz w:val="20"/>
                <w:szCs w:val="20"/>
              </w:rPr>
            </w:pPr>
          </w:p>
        </w:tc>
        <w:tc>
          <w:tcPr>
            <w:tcW w:w="1425" w:type="dxa"/>
            <w:tcBorders>
              <w:left w:val="single" w:sz="4" w:space="0" w:color="000000"/>
            </w:tcBorders>
          </w:tcPr>
          <w:p w14:paraId="2D5EAF2B" w14:textId="77777777" w:rsidR="00C357C1" w:rsidRDefault="00C357C1">
            <w:pPr>
              <w:spacing w:after="0" w:line="240" w:lineRule="auto"/>
              <w:ind w:left="0" w:hanging="2"/>
              <w:jc w:val="center"/>
              <w:rPr>
                <w:rFonts w:ascii="Times New Roman" w:eastAsia="Times New Roman" w:hAnsi="Times New Roman" w:cs="Times New Roman"/>
                <w:b/>
                <w:sz w:val="20"/>
                <w:szCs w:val="20"/>
              </w:rPr>
            </w:pPr>
          </w:p>
        </w:tc>
        <w:tc>
          <w:tcPr>
            <w:tcW w:w="992" w:type="dxa"/>
          </w:tcPr>
          <w:p w14:paraId="2472DE16"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r>
      <w:tr w:rsidR="00C357C1" w14:paraId="28920611" w14:textId="77777777" w:rsidTr="00D472FA">
        <w:trPr>
          <w:trHeight w:val="257"/>
        </w:trPr>
        <w:tc>
          <w:tcPr>
            <w:tcW w:w="562" w:type="dxa"/>
          </w:tcPr>
          <w:p w14:paraId="62EC4411" w14:textId="77777777" w:rsidR="00C357C1" w:rsidRDefault="00C357C1" w:rsidP="00D472FA">
            <w:pPr>
              <w:numPr>
                <w:ilvl w:val="0"/>
                <w:numId w:val="2"/>
              </w:numPr>
              <w:spacing w:after="0" w:line="240" w:lineRule="auto"/>
              <w:ind w:left="0" w:hanging="2"/>
              <w:rPr>
                <w:rFonts w:ascii="Times New Roman" w:eastAsia="Times New Roman" w:hAnsi="Times New Roman" w:cs="Times New Roman"/>
                <w:sz w:val="20"/>
                <w:szCs w:val="20"/>
              </w:rPr>
            </w:pPr>
          </w:p>
        </w:tc>
        <w:tc>
          <w:tcPr>
            <w:tcW w:w="2565" w:type="dxa"/>
          </w:tcPr>
          <w:p w14:paraId="1CFC32E5"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245" w:type="dxa"/>
          </w:tcPr>
          <w:p w14:paraId="12393231"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155" w:type="dxa"/>
          </w:tcPr>
          <w:p w14:paraId="374741B7"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000000"/>
            </w:tcBorders>
          </w:tcPr>
          <w:p w14:paraId="43B0E0FF"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425" w:type="dxa"/>
            <w:tcBorders>
              <w:left w:val="single" w:sz="4" w:space="0" w:color="000000"/>
            </w:tcBorders>
          </w:tcPr>
          <w:p w14:paraId="73B47678"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992" w:type="dxa"/>
          </w:tcPr>
          <w:p w14:paraId="6D31BFA5"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r>
      <w:tr w:rsidR="00C357C1" w14:paraId="52AE83E3" w14:textId="77777777" w:rsidTr="00D472FA">
        <w:tc>
          <w:tcPr>
            <w:tcW w:w="562" w:type="dxa"/>
          </w:tcPr>
          <w:p w14:paraId="04FF8E06" w14:textId="77777777" w:rsidR="00C357C1" w:rsidRDefault="00C97953">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65" w:type="dxa"/>
          </w:tcPr>
          <w:p w14:paraId="5AF83978"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245" w:type="dxa"/>
          </w:tcPr>
          <w:p w14:paraId="7FC1A0C2"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155" w:type="dxa"/>
          </w:tcPr>
          <w:p w14:paraId="42412F75"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000000"/>
            </w:tcBorders>
          </w:tcPr>
          <w:p w14:paraId="59C67471"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425" w:type="dxa"/>
            <w:tcBorders>
              <w:left w:val="single" w:sz="4" w:space="0" w:color="000000"/>
            </w:tcBorders>
          </w:tcPr>
          <w:p w14:paraId="2D6E0432"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992" w:type="dxa"/>
          </w:tcPr>
          <w:p w14:paraId="70A3B047"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r>
      <w:tr w:rsidR="00C357C1" w14:paraId="3F3056D0" w14:textId="77777777" w:rsidTr="00D472FA">
        <w:tc>
          <w:tcPr>
            <w:tcW w:w="562" w:type="dxa"/>
          </w:tcPr>
          <w:p w14:paraId="0C066B1E" w14:textId="77777777" w:rsidR="00C357C1" w:rsidRDefault="00C357C1">
            <w:pPr>
              <w:spacing w:after="0" w:line="240" w:lineRule="auto"/>
              <w:ind w:left="0" w:hanging="2"/>
              <w:rPr>
                <w:rFonts w:ascii="Times New Roman" w:eastAsia="Times New Roman" w:hAnsi="Times New Roman" w:cs="Times New Roman"/>
                <w:b/>
                <w:sz w:val="20"/>
                <w:szCs w:val="20"/>
              </w:rPr>
            </w:pPr>
          </w:p>
        </w:tc>
        <w:tc>
          <w:tcPr>
            <w:tcW w:w="2565" w:type="dxa"/>
          </w:tcPr>
          <w:p w14:paraId="6D481498"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245" w:type="dxa"/>
          </w:tcPr>
          <w:p w14:paraId="014AFBFD"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155" w:type="dxa"/>
          </w:tcPr>
          <w:p w14:paraId="34B1DAA0"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000000"/>
            </w:tcBorders>
          </w:tcPr>
          <w:p w14:paraId="261CEB11"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425" w:type="dxa"/>
            <w:tcBorders>
              <w:left w:val="single" w:sz="4" w:space="0" w:color="000000"/>
            </w:tcBorders>
          </w:tcPr>
          <w:p w14:paraId="3E72C055"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992" w:type="dxa"/>
          </w:tcPr>
          <w:p w14:paraId="53495435"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r>
      <w:tr w:rsidR="00C357C1" w14:paraId="2EF64670" w14:textId="77777777" w:rsidTr="00D472FA">
        <w:tc>
          <w:tcPr>
            <w:tcW w:w="562" w:type="dxa"/>
          </w:tcPr>
          <w:p w14:paraId="3C7F3012" w14:textId="77777777" w:rsidR="00C357C1" w:rsidRDefault="00C357C1">
            <w:pPr>
              <w:spacing w:after="0" w:line="240" w:lineRule="auto"/>
              <w:ind w:left="0" w:hanging="2"/>
              <w:rPr>
                <w:rFonts w:ascii="Times New Roman" w:eastAsia="Times New Roman" w:hAnsi="Times New Roman" w:cs="Times New Roman"/>
                <w:b/>
                <w:sz w:val="20"/>
                <w:szCs w:val="20"/>
              </w:rPr>
            </w:pPr>
          </w:p>
        </w:tc>
        <w:tc>
          <w:tcPr>
            <w:tcW w:w="2565" w:type="dxa"/>
          </w:tcPr>
          <w:p w14:paraId="7663F974"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245" w:type="dxa"/>
          </w:tcPr>
          <w:p w14:paraId="7465CBF3"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155" w:type="dxa"/>
          </w:tcPr>
          <w:p w14:paraId="004E3061"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000000"/>
            </w:tcBorders>
          </w:tcPr>
          <w:p w14:paraId="52A29988"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425" w:type="dxa"/>
            <w:tcBorders>
              <w:left w:val="single" w:sz="4" w:space="0" w:color="000000"/>
            </w:tcBorders>
          </w:tcPr>
          <w:p w14:paraId="42E8DB43"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992" w:type="dxa"/>
          </w:tcPr>
          <w:p w14:paraId="7A306DEE"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r>
      <w:tr w:rsidR="00C357C1" w14:paraId="6189F8DB" w14:textId="77777777" w:rsidTr="00D472FA">
        <w:tc>
          <w:tcPr>
            <w:tcW w:w="562" w:type="dxa"/>
          </w:tcPr>
          <w:p w14:paraId="38F8FDA5" w14:textId="77777777" w:rsidR="00C357C1" w:rsidRDefault="00C357C1">
            <w:pPr>
              <w:spacing w:after="0" w:line="240" w:lineRule="auto"/>
              <w:ind w:left="0" w:hanging="2"/>
              <w:rPr>
                <w:rFonts w:ascii="Times New Roman" w:eastAsia="Times New Roman" w:hAnsi="Times New Roman" w:cs="Times New Roman"/>
                <w:b/>
                <w:sz w:val="20"/>
                <w:szCs w:val="20"/>
              </w:rPr>
            </w:pPr>
          </w:p>
        </w:tc>
        <w:tc>
          <w:tcPr>
            <w:tcW w:w="2565" w:type="dxa"/>
          </w:tcPr>
          <w:p w14:paraId="43277D4E"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245" w:type="dxa"/>
          </w:tcPr>
          <w:p w14:paraId="5CFEF56C"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155" w:type="dxa"/>
          </w:tcPr>
          <w:p w14:paraId="3C1A1324"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000000"/>
            </w:tcBorders>
          </w:tcPr>
          <w:p w14:paraId="4F5D1CED"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425" w:type="dxa"/>
            <w:tcBorders>
              <w:left w:val="single" w:sz="4" w:space="0" w:color="000000"/>
            </w:tcBorders>
          </w:tcPr>
          <w:p w14:paraId="422B8990"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992" w:type="dxa"/>
          </w:tcPr>
          <w:p w14:paraId="1B492E82"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r>
      <w:tr w:rsidR="00C357C1" w14:paraId="06ECF13F" w14:textId="77777777" w:rsidTr="00D472FA">
        <w:tc>
          <w:tcPr>
            <w:tcW w:w="562" w:type="dxa"/>
          </w:tcPr>
          <w:p w14:paraId="051CDC47" w14:textId="77777777" w:rsidR="00C357C1" w:rsidRDefault="00C357C1">
            <w:pPr>
              <w:spacing w:after="0" w:line="240" w:lineRule="auto"/>
              <w:ind w:left="0" w:hanging="2"/>
              <w:rPr>
                <w:rFonts w:ascii="Times New Roman" w:eastAsia="Times New Roman" w:hAnsi="Times New Roman" w:cs="Times New Roman"/>
                <w:b/>
                <w:sz w:val="20"/>
                <w:szCs w:val="20"/>
              </w:rPr>
            </w:pPr>
          </w:p>
        </w:tc>
        <w:tc>
          <w:tcPr>
            <w:tcW w:w="2565" w:type="dxa"/>
          </w:tcPr>
          <w:p w14:paraId="3F3B46CA"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245" w:type="dxa"/>
          </w:tcPr>
          <w:p w14:paraId="601799A9"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155" w:type="dxa"/>
          </w:tcPr>
          <w:p w14:paraId="046EBFEA"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000000"/>
            </w:tcBorders>
          </w:tcPr>
          <w:p w14:paraId="27C52D7B" w14:textId="77777777" w:rsidR="00C357C1" w:rsidRDefault="00C357C1">
            <w:pPr>
              <w:spacing w:after="0" w:line="240" w:lineRule="auto"/>
              <w:ind w:left="0" w:hanging="2"/>
              <w:rPr>
                <w:rFonts w:ascii="Times New Roman" w:eastAsia="Times New Roman" w:hAnsi="Times New Roman" w:cs="Times New Roman"/>
                <w:sz w:val="20"/>
                <w:szCs w:val="20"/>
              </w:rPr>
            </w:pPr>
          </w:p>
        </w:tc>
        <w:tc>
          <w:tcPr>
            <w:tcW w:w="1425" w:type="dxa"/>
            <w:tcBorders>
              <w:left w:val="single" w:sz="4" w:space="0" w:color="000000"/>
            </w:tcBorders>
          </w:tcPr>
          <w:p w14:paraId="526E875F" w14:textId="77777777" w:rsidR="00C357C1" w:rsidRDefault="00C357C1" w:rsidP="00D472FA">
            <w:pPr>
              <w:spacing w:after="0" w:line="240" w:lineRule="auto"/>
              <w:ind w:left="0" w:hanging="2"/>
              <w:jc w:val="center"/>
              <w:rPr>
                <w:rFonts w:ascii="Times New Roman" w:eastAsia="Times New Roman" w:hAnsi="Times New Roman" w:cs="Times New Roman"/>
                <w:sz w:val="20"/>
                <w:szCs w:val="20"/>
              </w:rPr>
            </w:pPr>
          </w:p>
        </w:tc>
        <w:tc>
          <w:tcPr>
            <w:tcW w:w="992" w:type="dxa"/>
          </w:tcPr>
          <w:p w14:paraId="754C307C"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r>
      <w:tr w:rsidR="00C357C1" w14:paraId="7357DDF3" w14:textId="77777777" w:rsidTr="00D472FA">
        <w:tc>
          <w:tcPr>
            <w:tcW w:w="562" w:type="dxa"/>
          </w:tcPr>
          <w:p w14:paraId="4AEFBC74" w14:textId="77777777" w:rsidR="00C357C1" w:rsidRDefault="00C357C1">
            <w:pPr>
              <w:spacing w:after="0" w:line="240" w:lineRule="auto"/>
              <w:ind w:left="0" w:hanging="2"/>
              <w:rPr>
                <w:rFonts w:ascii="Times New Roman" w:eastAsia="Times New Roman" w:hAnsi="Times New Roman" w:cs="Times New Roman"/>
                <w:b/>
                <w:sz w:val="20"/>
                <w:szCs w:val="20"/>
              </w:rPr>
            </w:pPr>
          </w:p>
        </w:tc>
        <w:tc>
          <w:tcPr>
            <w:tcW w:w="2565" w:type="dxa"/>
          </w:tcPr>
          <w:p w14:paraId="6A1D7B51"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245" w:type="dxa"/>
          </w:tcPr>
          <w:p w14:paraId="0810AFB7"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155" w:type="dxa"/>
          </w:tcPr>
          <w:p w14:paraId="0331B86E"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000000"/>
            </w:tcBorders>
          </w:tcPr>
          <w:p w14:paraId="257D093D"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425" w:type="dxa"/>
            <w:tcBorders>
              <w:left w:val="single" w:sz="4" w:space="0" w:color="000000"/>
            </w:tcBorders>
          </w:tcPr>
          <w:p w14:paraId="48D82242"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992" w:type="dxa"/>
          </w:tcPr>
          <w:p w14:paraId="26A71831"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r>
      <w:tr w:rsidR="00C357C1" w14:paraId="59088C90" w14:textId="77777777" w:rsidTr="00D472FA">
        <w:tc>
          <w:tcPr>
            <w:tcW w:w="562" w:type="dxa"/>
          </w:tcPr>
          <w:p w14:paraId="0CEA9E6E" w14:textId="77777777" w:rsidR="00C357C1" w:rsidRDefault="00C97953">
            <w:pPr>
              <w:spacing w:after="0" w:line="240" w:lineRule="auto"/>
              <w:ind w:left="0"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Kopā:</w:t>
            </w:r>
          </w:p>
        </w:tc>
        <w:tc>
          <w:tcPr>
            <w:tcW w:w="2565" w:type="dxa"/>
          </w:tcPr>
          <w:p w14:paraId="1FCC8BD9"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245" w:type="dxa"/>
          </w:tcPr>
          <w:p w14:paraId="051DCBEB"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155" w:type="dxa"/>
          </w:tcPr>
          <w:p w14:paraId="63249FCE"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000000"/>
            </w:tcBorders>
          </w:tcPr>
          <w:p w14:paraId="0F138CD6"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1425" w:type="dxa"/>
            <w:tcBorders>
              <w:left w:val="single" w:sz="4" w:space="0" w:color="000000"/>
            </w:tcBorders>
          </w:tcPr>
          <w:p w14:paraId="7C0EAFE7"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c>
          <w:tcPr>
            <w:tcW w:w="992" w:type="dxa"/>
          </w:tcPr>
          <w:p w14:paraId="5A7F19AB" w14:textId="77777777" w:rsidR="00C357C1" w:rsidRDefault="00C357C1">
            <w:pPr>
              <w:spacing w:after="0" w:line="240" w:lineRule="auto"/>
              <w:ind w:left="0" w:hanging="2"/>
              <w:jc w:val="center"/>
              <w:rPr>
                <w:rFonts w:ascii="Times New Roman" w:eastAsia="Times New Roman" w:hAnsi="Times New Roman" w:cs="Times New Roman"/>
                <w:sz w:val="20"/>
                <w:szCs w:val="20"/>
              </w:rPr>
            </w:pPr>
          </w:p>
        </w:tc>
      </w:tr>
    </w:tbl>
    <w:p w14:paraId="3805492E" w14:textId="77777777" w:rsidR="00C357C1" w:rsidRDefault="00C357C1">
      <w:pPr>
        <w:spacing w:after="0" w:line="240" w:lineRule="auto"/>
        <w:ind w:left="0" w:hanging="2"/>
        <w:jc w:val="center"/>
        <w:rPr>
          <w:rFonts w:ascii="Times New Roman" w:eastAsia="Times New Roman" w:hAnsi="Times New Roman" w:cs="Times New Roman"/>
          <w:sz w:val="24"/>
          <w:szCs w:val="24"/>
        </w:rPr>
      </w:pPr>
    </w:p>
    <w:p w14:paraId="3DD52D86" w14:textId="77777777" w:rsidR="00C357C1" w:rsidRDefault="00C357C1" w:rsidP="00D472FA">
      <w:pPr>
        <w:tabs>
          <w:tab w:val="left" w:pos="709"/>
          <w:tab w:val="left" w:pos="851"/>
          <w:tab w:val="left" w:pos="3119"/>
        </w:tabs>
        <w:spacing w:after="0" w:line="360" w:lineRule="auto"/>
        <w:ind w:left="0" w:hanging="2"/>
        <w:jc w:val="both"/>
        <w:rPr>
          <w:rFonts w:ascii="Times New Roman" w:eastAsia="Times New Roman" w:hAnsi="Times New Roman" w:cs="Times New Roman"/>
        </w:rPr>
      </w:pPr>
    </w:p>
    <w:p w14:paraId="36402FEB" w14:textId="77777777" w:rsidR="00C357C1" w:rsidRDefault="00C97953">
      <w:pPr>
        <w:tabs>
          <w:tab w:val="left" w:pos="709"/>
          <w:tab w:val="left" w:pos="851"/>
          <w:tab w:val="left" w:pos="3119"/>
        </w:tabs>
        <w:spacing w:after="0" w:line="360" w:lineRule="auto"/>
        <w:ind w:left="0" w:hanging="2"/>
        <w:jc w:val="both"/>
        <w:rPr>
          <w:rFonts w:ascii="Times New Roman" w:eastAsia="Times New Roman" w:hAnsi="Times New Roman" w:cs="Times New Roman"/>
          <w:i/>
        </w:rPr>
        <w:sectPr w:rsidR="00C357C1">
          <w:headerReference w:type="even" r:id="rId19"/>
          <w:headerReference w:type="default" r:id="rId20"/>
          <w:footerReference w:type="even" r:id="rId21"/>
          <w:footerReference w:type="default" r:id="rId22"/>
          <w:headerReference w:type="first" r:id="rId23"/>
          <w:footerReference w:type="first" r:id="rId24"/>
          <w:pgSz w:w="11906" w:h="16838"/>
          <w:pgMar w:top="993" w:right="707" w:bottom="1440" w:left="1560" w:header="708" w:footer="708" w:gutter="0"/>
          <w:pgNumType w:start="1"/>
          <w:cols w:space="720"/>
          <w:titlePg/>
        </w:sectPr>
      </w:pPr>
      <w:r>
        <w:rPr>
          <w:rFonts w:ascii="Times New Roman" w:eastAsia="Times New Roman" w:hAnsi="Times New Roman" w:cs="Times New Roman"/>
        </w:rPr>
        <w:t xml:space="preserve">*Jebkura tāmē norādītā vienība var tikt aizstāta ar ekvivalentu vienību. </w:t>
      </w:r>
    </w:p>
    <w:p w14:paraId="577B13BA" w14:textId="77777777" w:rsidR="00C357C1" w:rsidRDefault="00C97953">
      <w:pPr>
        <w:tabs>
          <w:tab w:val="left" w:pos="709"/>
          <w:tab w:val="left" w:pos="851"/>
          <w:tab w:val="left" w:pos="3119"/>
        </w:tabs>
        <w:spacing w:after="0" w:line="360" w:lineRule="auto"/>
        <w:ind w:left="0" w:hanging="2"/>
        <w:jc w:val="right"/>
        <w:rPr>
          <w:rFonts w:ascii="Times New Roman" w:eastAsia="Times New Roman" w:hAnsi="Times New Roman" w:cs="Times New Roman"/>
          <w:i/>
        </w:rPr>
      </w:pPr>
      <w:r>
        <w:rPr>
          <w:rFonts w:ascii="Times New Roman" w:eastAsia="Times New Roman" w:hAnsi="Times New Roman" w:cs="Times New Roman"/>
          <w:i/>
        </w:rPr>
        <w:lastRenderedPageBreak/>
        <w:t xml:space="preserve">3. </w:t>
      </w:r>
      <w:r w:rsidRPr="00D472FA">
        <w:rPr>
          <w:rFonts w:ascii="Times New Roman" w:hAnsi="Times New Roman"/>
          <w:i/>
        </w:rPr>
        <w:t>pielikums</w:t>
      </w:r>
    </w:p>
    <w:p w14:paraId="27B099BE" w14:textId="77777777" w:rsidR="00C357C1" w:rsidRDefault="00C97953">
      <w:pPr>
        <w:tabs>
          <w:tab w:val="left" w:pos="709"/>
          <w:tab w:val="left" w:pos="851"/>
          <w:tab w:val="left" w:pos="3119"/>
        </w:tabs>
        <w:spacing w:after="0" w:line="360" w:lineRule="auto"/>
        <w:ind w:left="0" w:hanging="2"/>
        <w:jc w:val="right"/>
        <w:rPr>
          <w:rFonts w:ascii="Times New Roman" w:eastAsia="Times New Roman" w:hAnsi="Times New Roman" w:cs="Times New Roman"/>
          <w:i/>
        </w:rPr>
      </w:pPr>
      <w:r>
        <w:rPr>
          <w:rFonts w:ascii="Times New Roman" w:eastAsia="Times New Roman" w:hAnsi="Times New Roman" w:cs="Times New Roman"/>
          <w:i/>
          <w:noProof/>
        </w:rPr>
        <w:drawing>
          <wp:inline distT="114300" distB="114300" distL="114300" distR="114300" wp14:anchorId="0B73E9A3" wp14:editId="78D6CF6E">
            <wp:extent cx="9252455" cy="520700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9252455" cy="5207000"/>
                    </a:xfrm>
                    <a:prstGeom prst="rect">
                      <a:avLst/>
                    </a:prstGeom>
                    <a:ln/>
                  </pic:spPr>
                </pic:pic>
              </a:graphicData>
            </a:graphic>
          </wp:inline>
        </w:drawing>
      </w:r>
    </w:p>
    <w:p w14:paraId="3D06D954" w14:textId="77777777" w:rsidR="00C357C1" w:rsidRDefault="00C97953">
      <w:pPr>
        <w:tabs>
          <w:tab w:val="left" w:pos="709"/>
          <w:tab w:val="left" w:pos="851"/>
          <w:tab w:val="left" w:pos="3119"/>
        </w:tabs>
        <w:spacing w:after="0" w:line="360" w:lineRule="auto"/>
        <w:ind w:left="0" w:hanging="2"/>
        <w:jc w:val="right"/>
        <w:rPr>
          <w:rFonts w:ascii="Times New Roman" w:eastAsia="Times New Roman" w:hAnsi="Times New Roman" w:cs="Times New Roman"/>
          <w:i/>
        </w:rPr>
      </w:pPr>
      <w:r>
        <w:rPr>
          <w:rFonts w:ascii="Times New Roman" w:eastAsia="Times New Roman" w:hAnsi="Times New Roman" w:cs="Times New Roman"/>
          <w:i/>
        </w:rPr>
        <w:t>Minimālais izmērs 148 x 210 mm (A5 lapa)</w:t>
      </w:r>
    </w:p>
    <w:p w14:paraId="4ACC340C" w14:textId="77777777" w:rsidR="00C357C1" w:rsidRDefault="00C97953">
      <w:pPr>
        <w:tabs>
          <w:tab w:val="left" w:pos="709"/>
          <w:tab w:val="left" w:pos="851"/>
          <w:tab w:val="left" w:pos="3119"/>
        </w:tabs>
        <w:spacing w:after="0" w:line="360" w:lineRule="auto"/>
        <w:ind w:left="0" w:hanging="2"/>
        <w:jc w:val="right"/>
        <w:rPr>
          <w:rFonts w:ascii="Times New Roman" w:eastAsia="Times New Roman" w:hAnsi="Times New Roman" w:cs="Times New Roman"/>
          <w:i/>
        </w:rPr>
      </w:pPr>
      <w:r>
        <w:rPr>
          <w:rFonts w:ascii="Times New Roman" w:eastAsia="Times New Roman" w:hAnsi="Times New Roman" w:cs="Times New Roman"/>
          <w:i/>
        </w:rPr>
        <w:lastRenderedPageBreak/>
        <w:t xml:space="preserve">4. </w:t>
      </w:r>
      <w:r w:rsidRPr="00D472FA">
        <w:rPr>
          <w:rFonts w:ascii="Times New Roman" w:hAnsi="Times New Roman"/>
          <w:i/>
        </w:rPr>
        <w:t>pielikums</w:t>
      </w:r>
    </w:p>
    <w:p w14:paraId="16F5839C" w14:textId="77777777" w:rsidR="00C357C1" w:rsidRDefault="00C97953">
      <w:pPr>
        <w:tabs>
          <w:tab w:val="left" w:pos="709"/>
          <w:tab w:val="left" w:pos="851"/>
          <w:tab w:val="left" w:pos="3119"/>
        </w:tabs>
        <w:spacing w:after="0" w:line="360" w:lineRule="auto"/>
        <w:ind w:left="0" w:hanging="2"/>
        <w:jc w:val="right"/>
        <w:rPr>
          <w:rFonts w:ascii="Times New Roman" w:eastAsia="Times New Roman" w:hAnsi="Times New Roman" w:cs="Times New Roman"/>
          <w:i/>
        </w:rPr>
      </w:pPr>
      <w:r>
        <w:rPr>
          <w:rFonts w:ascii="Times New Roman" w:eastAsia="Times New Roman" w:hAnsi="Times New Roman" w:cs="Times New Roman"/>
          <w:i/>
          <w:noProof/>
        </w:rPr>
        <w:drawing>
          <wp:inline distT="114300" distB="114300" distL="114300" distR="114300" wp14:anchorId="63E09829" wp14:editId="3A3A37A2">
            <wp:extent cx="9252455" cy="52070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6"/>
                    <a:srcRect/>
                    <a:stretch>
                      <a:fillRect/>
                    </a:stretch>
                  </pic:blipFill>
                  <pic:spPr>
                    <a:xfrm>
                      <a:off x="0" y="0"/>
                      <a:ext cx="9252455" cy="5207000"/>
                    </a:xfrm>
                    <a:prstGeom prst="rect">
                      <a:avLst/>
                    </a:prstGeom>
                    <a:ln/>
                  </pic:spPr>
                </pic:pic>
              </a:graphicData>
            </a:graphic>
          </wp:inline>
        </w:drawing>
      </w:r>
    </w:p>
    <w:p w14:paraId="63C6A394" w14:textId="77777777" w:rsidR="00C357C1" w:rsidRPr="00D472FA" w:rsidRDefault="00C97953" w:rsidP="00D472FA">
      <w:pPr>
        <w:tabs>
          <w:tab w:val="left" w:pos="709"/>
          <w:tab w:val="left" w:pos="851"/>
          <w:tab w:val="left" w:pos="3119"/>
        </w:tabs>
        <w:spacing w:after="0" w:line="360" w:lineRule="auto"/>
        <w:ind w:left="0" w:hanging="2"/>
        <w:jc w:val="right"/>
        <w:rPr>
          <w:rFonts w:ascii="Times New Roman" w:hAnsi="Times New Roman"/>
          <w:i/>
        </w:rPr>
      </w:pPr>
      <w:r>
        <w:rPr>
          <w:rFonts w:ascii="Times New Roman" w:eastAsia="Times New Roman" w:hAnsi="Times New Roman" w:cs="Times New Roman"/>
          <w:i/>
        </w:rPr>
        <w:t>Izmērs tiek saskaņots ar Rēzeknes novada pašvaldību</w:t>
      </w:r>
    </w:p>
    <w:sectPr w:rsidR="00C357C1" w:rsidRPr="00D472FA" w:rsidSect="00D472FA">
      <w:pgSz w:w="16838" w:h="11906" w:orient="landscape"/>
      <w:pgMar w:top="993" w:right="707" w:bottom="1440" w:left="156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0509D" w14:textId="77777777" w:rsidR="005812D4" w:rsidRDefault="005812D4">
      <w:pPr>
        <w:spacing w:after="0" w:line="240" w:lineRule="auto"/>
        <w:ind w:left="0" w:hanging="2"/>
      </w:pPr>
      <w:r>
        <w:separator/>
      </w:r>
    </w:p>
  </w:endnote>
  <w:endnote w:type="continuationSeparator" w:id="0">
    <w:p w14:paraId="423166EC" w14:textId="77777777" w:rsidR="005812D4" w:rsidRDefault="005812D4">
      <w:pPr>
        <w:spacing w:after="0" w:line="240" w:lineRule="auto"/>
        <w:ind w:left="0" w:hanging="2"/>
      </w:pPr>
      <w:r>
        <w:continuationSeparator/>
      </w:r>
    </w:p>
  </w:endnote>
  <w:endnote w:type="continuationNotice" w:id="1">
    <w:p w14:paraId="2DFF148D" w14:textId="77777777" w:rsidR="005812D4" w:rsidRDefault="005812D4">
      <w:pPr>
        <w:spacing w:after="0"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6C8CC" w14:textId="77777777" w:rsidR="00C357C1" w:rsidRDefault="00C357C1">
    <w:pPr>
      <w:pBdr>
        <w:top w:val="nil"/>
        <w:left w:val="nil"/>
        <w:bottom w:val="nil"/>
        <w:right w:val="nil"/>
        <w:between w:val="nil"/>
      </w:pBdr>
      <w:tabs>
        <w:tab w:val="center" w:pos="4153"/>
        <w:tab w:val="right" w:pos="8306"/>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7F12E" w14:textId="65F6B303" w:rsidR="00C357C1" w:rsidRDefault="00C97953" w:rsidP="00D472FA">
    <w:pPr>
      <w:tabs>
        <w:tab w:val="center" w:pos="4153"/>
        <w:tab w:val="right" w:pos="8306"/>
      </w:tabs>
      <w:ind w:left="0" w:hanging="2"/>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82142" w14:textId="443E63F7" w:rsidR="00C357C1" w:rsidRDefault="00C357C1">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E41AC" w14:textId="77777777" w:rsidR="005812D4" w:rsidRDefault="005812D4">
      <w:pPr>
        <w:spacing w:after="0" w:line="240" w:lineRule="auto"/>
        <w:ind w:left="0" w:hanging="2"/>
      </w:pPr>
      <w:r>
        <w:separator/>
      </w:r>
    </w:p>
  </w:footnote>
  <w:footnote w:type="continuationSeparator" w:id="0">
    <w:p w14:paraId="447AEEA2" w14:textId="77777777" w:rsidR="005812D4" w:rsidRDefault="005812D4">
      <w:pPr>
        <w:spacing w:after="0" w:line="240" w:lineRule="auto"/>
        <w:ind w:left="0" w:hanging="2"/>
      </w:pPr>
      <w:r>
        <w:continuationSeparator/>
      </w:r>
    </w:p>
  </w:footnote>
  <w:footnote w:type="continuationNotice" w:id="1">
    <w:p w14:paraId="1342AE9B" w14:textId="77777777" w:rsidR="005812D4" w:rsidRDefault="005812D4">
      <w:pPr>
        <w:spacing w:after="0" w:line="240" w:lineRule="auto"/>
        <w:ind w:left="0" w:hanging="2"/>
      </w:pPr>
    </w:p>
  </w:footnote>
  <w:footnote w:id="2">
    <w:p w14:paraId="25FE9A7D" w14:textId="288DC775" w:rsidR="00C357C1" w:rsidRDefault="00C9795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sidRPr="00D472FA">
        <w:rPr>
          <w:vertAlign w:val="superscript"/>
        </w:rPr>
        <w:footnoteRef/>
      </w:r>
      <w:r>
        <w:rPr>
          <w:rFonts w:ascii="Times New Roman" w:eastAsia="Times New Roman" w:hAnsi="Times New Roman" w:cs="Times New Roman"/>
          <w:color w:val="000000"/>
          <w:sz w:val="20"/>
          <w:szCs w:val="20"/>
        </w:rPr>
        <w:t xml:space="preserve"> Komisijas regula (ES) Nr.</w:t>
      </w:r>
      <w:hyperlink r:id="rId1">
        <w:r>
          <w:rPr>
            <w:rFonts w:ascii="Times New Roman" w:eastAsia="Times New Roman" w:hAnsi="Times New Roman" w:cs="Times New Roman"/>
            <w:color w:val="0000FF"/>
            <w:sz w:val="20"/>
            <w:szCs w:val="20"/>
            <w:u w:val="single"/>
          </w:rPr>
          <w:t>1407/2013</w:t>
        </w:r>
      </w:hyperlink>
      <w:r>
        <w:rPr>
          <w:rFonts w:ascii="Times New Roman" w:eastAsia="Times New Roman" w:hAnsi="Times New Roman" w:cs="Times New Roman"/>
          <w:color w:val="000000"/>
          <w:sz w:val="20"/>
          <w:szCs w:val="20"/>
        </w:rPr>
        <w:t xml:space="preserve"> (2013.gada 18.decembris) par Līguma par Eiropas Savienības darbību 107. un 108. panta piemērošanu </w:t>
      </w:r>
      <w:proofErr w:type="spellStart"/>
      <w:r>
        <w:rPr>
          <w:rFonts w:ascii="Times New Roman" w:eastAsia="Times New Roman" w:hAnsi="Times New Roman" w:cs="Times New Roman"/>
          <w:i/>
          <w:color w:val="000000"/>
          <w:sz w:val="20"/>
          <w:szCs w:val="20"/>
        </w:rPr>
        <w:t>de</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minimis</w:t>
      </w:r>
      <w:proofErr w:type="spellEnd"/>
      <w:r>
        <w:rPr>
          <w:rFonts w:ascii="Times New Roman" w:eastAsia="Times New Roman" w:hAnsi="Times New Roman" w:cs="Times New Roman"/>
          <w:color w:val="000000"/>
          <w:sz w:val="20"/>
          <w:szCs w:val="20"/>
        </w:rPr>
        <w:t xml:space="preserve"> atbalstam (turpmāk – Komisijas regula Nr.1407/2013)</w:t>
      </w:r>
    </w:p>
  </w:footnote>
  <w:footnote w:id="3">
    <w:p w14:paraId="4B74B426" w14:textId="690BC92A" w:rsidR="00F106DA" w:rsidRDefault="00F106DA">
      <w:pPr>
        <w:pStyle w:val="FootnoteText"/>
        <w:ind w:left="0" w:hanging="2"/>
      </w:pPr>
      <w:r>
        <w:rPr>
          <w:rStyle w:val="FootnoteReference"/>
        </w:rPr>
        <w:footnoteRef/>
      </w:r>
      <w:r>
        <w:t xml:space="preserve"> </w:t>
      </w:r>
      <w:r>
        <w:rPr>
          <w:rFonts w:cs="Times New Roman"/>
          <w:color w:val="000000"/>
        </w:rPr>
        <w:t>Universālais dizains nenosaka īpašas prasības kādai konkrētai sociālai grupai, bet padara ikvienu pakalpojumu, ikvienu infrastruktūru, kā arī vidi pieejamu ikvienam sabiedrības loceklim.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C442E" w14:textId="77777777" w:rsidR="00C357C1" w:rsidRDefault="00C357C1">
    <w:pPr>
      <w:pBdr>
        <w:top w:val="nil"/>
        <w:left w:val="nil"/>
        <w:bottom w:val="nil"/>
        <w:right w:val="nil"/>
        <w:between w:val="nil"/>
      </w:pBdr>
      <w:tabs>
        <w:tab w:val="center" w:pos="4153"/>
        <w:tab w:val="right" w:pos="8306"/>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3C054" w14:textId="77777777" w:rsidR="00C357C1" w:rsidRDefault="00C357C1">
    <w:pPr>
      <w:pBdr>
        <w:top w:val="nil"/>
        <w:left w:val="nil"/>
        <w:bottom w:val="nil"/>
        <w:right w:val="nil"/>
        <w:between w:val="nil"/>
      </w:pBdr>
      <w:tabs>
        <w:tab w:val="center" w:pos="4153"/>
        <w:tab w:val="right" w:pos="8306"/>
      </w:tabs>
      <w:ind w:left="0" w:hanging="2"/>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C010B" w14:textId="77777777" w:rsidR="00C357C1" w:rsidRDefault="00C357C1">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2617C"/>
    <w:multiLevelType w:val="multilevel"/>
    <w:tmpl w:val="593CBBF8"/>
    <w:lvl w:ilvl="0">
      <w:start w:val="1"/>
      <w:numFmt w:val="decimal"/>
      <w:lvlText w:val="%1."/>
      <w:lvlJc w:val="left"/>
      <w:pPr>
        <w:ind w:left="360" w:hanging="360"/>
      </w:pPr>
      <w:rPr>
        <w:rFonts w:hint="default"/>
        <w:b/>
        <w:vertAlign w:val="baseline"/>
      </w:rPr>
    </w:lvl>
    <w:lvl w:ilvl="1">
      <w:start w:val="1"/>
      <w:numFmt w:val="decimal"/>
      <w:lvlText w:val="%1.%2."/>
      <w:lvlJc w:val="left"/>
      <w:pPr>
        <w:ind w:left="574" w:hanging="432"/>
      </w:pPr>
      <w:rPr>
        <w:rFonts w:hint="default"/>
        <w:b w:val="0"/>
        <w:strike w:val="0"/>
        <w:color w:val="000000"/>
        <w:sz w:val="24"/>
        <w:szCs w:val="24"/>
        <w:shd w:val="clear" w:color="auto" w:fill="auto"/>
        <w:vertAlign w:val="baseline"/>
      </w:rPr>
    </w:lvl>
    <w:lvl w:ilvl="2">
      <w:start w:val="1"/>
      <w:numFmt w:val="decimal"/>
      <w:lvlText w:val="%1.%2.%3."/>
      <w:lvlJc w:val="left"/>
      <w:pPr>
        <w:ind w:left="708" w:hanging="915"/>
      </w:pPr>
      <w:rPr>
        <w:rFonts w:ascii="Times New Roman" w:eastAsia="Times New Roman" w:hAnsi="Times New Roman" w:cs="Times New Roman" w:hint="default"/>
        <w:b w:val="0"/>
        <w:strike w:val="0"/>
        <w:color w:val="000000"/>
        <w:sz w:val="24"/>
        <w:szCs w:val="24"/>
        <w:vertAlign w:val="baseline"/>
      </w:rPr>
    </w:lvl>
    <w:lvl w:ilvl="3">
      <w:start w:val="1"/>
      <w:numFmt w:val="decimal"/>
      <w:lvlText w:val="%1.%2.%3.%4."/>
      <w:lvlJc w:val="left"/>
      <w:pPr>
        <w:ind w:left="1783" w:hanging="647"/>
      </w:pPr>
      <w:rPr>
        <w:rFonts w:hint="default"/>
        <w:color w:val="000000"/>
        <w:sz w:val="24"/>
        <w:szCs w:val="24"/>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3"/>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1" w15:restartNumberingAfterBreak="0">
    <w:nsid w:val="39E37A26"/>
    <w:multiLevelType w:val="multilevel"/>
    <w:tmpl w:val="1EFC232E"/>
    <w:lvl w:ilvl="0">
      <w:start w:val="5"/>
      <w:numFmt w:val="decimal"/>
      <w:lvlText w:val="%1."/>
      <w:lvlJc w:val="left"/>
      <w:pPr>
        <w:ind w:left="360" w:hanging="360"/>
      </w:pPr>
      <w:rPr>
        <w:rFonts w:hint="default"/>
        <w:b/>
        <w:bCs/>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40C62D80"/>
    <w:multiLevelType w:val="multilevel"/>
    <w:tmpl w:val="9BC07AB4"/>
    <w:lvl w:ilvl="0">
      <w:start w:val="1"/>
      <w:numFmt w:val="decimal"/>
      <w:lvlText w:val="%1."/>
      <w:lvlJc w:val="left"/>
      <w:pPr>
        <w:ind w:left="360" w:hanging="360"/>
      </w:pPr>
      <w:rPr>
        <w:b/>
        <w:vertAlign w:val="baseline"/>
      </w:rPr>
    </w:lvl>
    <w:lvl w:ilvl="1">
      <w:start w:val="1"/>
      <w:numFmt w:val="decimal"/>
      <w:lvlText w:val="%1.%2."/>
      <w:lvlJc w:val="left"/>
      <w:pPr>
        <w:ind w:left="574" w:hanging="432"/>
      </w:pPr>
      <w:rPr>
        <w:b w:val="0"/>
        <w:strike w:val="0"/>
        <w:color w:val="000000"/>
        <w:sz w:val="24"/>
        <w:szCs w:val="24"/>
        <w:shd w:val="clear" w:color="auto" w:fill="auto"/>
        <w:vertAlign w:val="baseline"/>
      </w:rPr>
    </w:lvl>
    <w:lvl w:ilvl="2">
      <w:start w:val="1"/>
      <w:numFmt w:val="decimal"/>
      <w:lvlText w:val="%1.%2.%3."/>
      <w:lvlJc w:val="left"/>
      <w:pPr>
        <w:ind w:left="1341" w:hanging="915"/>
      </w:pPr>
      <w:rPr>
        <w:rFonts w:ascii="Times New Roman" w:eastAsia="Times New Roman" w:hAnsi="Times New Roman" w:cs="Times New Roman"/>
        <w:b w:val="0"/>
        <w:strike w:val="0"/>
        <w:color w:val="000000"/>
        <w:sz w:val="24"/>
        <w:szCs w:val="24"/>
        <w:vertAlign w:val="baseline"/>
      </w:rPr>
    </w:lvl>
    <w:lvl w:ilvl="3">
      <w:start w:val="1"/>
      <w:numFmt w:val="decimal"/>
      <w:lvlText w:val="%1.%2.%3.%4."/>
      <w:lvlJc w:val="left"/>
      <w:pPr>
        <w:ind w:left="1783" w:hanging="647"/>
      </w:pPr>
      <w:rPr>
        <w:color w:val="000000"/>
        <w:sz w:val="24"/>
        <w:szCs w:val="24"/>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4EA017EF"/>
    <w:multiLevelType w:val="multilevel"/>
    <w:tmpl w:val="AA866B54"/>
    <w:lvl w:ilvl="0">
      <w:start w:val="4"/>
      <w:numFmt w:val="decimal"/>
      <w:lvlText w:val="%1."/>
      <w:lvlJc w:val="left"/>
      <w:pPr>
        <w:ind w:left="360" w:hanging="360"/>
      </w:pPr>
      <w:rPr>
        <w:rFonts w:hint="default"/>
        <w:b/>
        <w:bCs/>
        <w:color w:val="000000"/>
        <w:sz w:val="24"/>
      </w:rPr>
    </w:lvl>
    <w:lvl w:ilvl="1">
      <w:start w:val="3"/>
      <w:numFmt w:val="decimal"/>
      <w:lvlText w:val="%1.%2."/>
      <w:lvlJc w:val="left"/>
      <w:pPr>
        <w:ind w:left="502" w:hanging="360"/>
      </w:pPr>
      <w:rPr>
        <w:rFonts w:hint="default"/>
        <w:color w:val="000000"/>
        <w:sz w:val="24"/>
      </w:rPr>
    </w:lvl>
    <w:lvl w:ilvl="2">
      <w:start w:val="1"/>
      <w:numFmt w:val="decimal"/>
      <w:lvlText w:val="%1.%2.%3."/>
      <w:lvlJc w:val="left"/>
      <w:pPr>
        <w:ind w:left="1004" w:hanging="720"/>
      </w:pPr>
      <w:rPr>
        <w:rFonts w:hint="default"/>
        <w:color w:val="000000"/>
        <w:sz w:val="24"/>
      </w:rPr>
    </w:lvl>
    <w:lvl w:ilvl="3">
      <w:start w:val="1"/>
      <w:numFmt w:val="decimal"/>
      <w:lvlText w:val="%1.%2.%3.%4."/>
      <w:lvlJc w:val="left"/>
      <w:pPr>
        <w:ind w:left="1146" w:hanging="720"/>
      </w:pPr>
      <w:rPr>
        <w:rFonts w:hint="default"/>
        <w:color w:val="000000"/>
        <w:sz w:val="24"/>
      </w:rPr>
    </w:lvl>
    <w:lvl w:ilvl="4">
      <w:start w:val="1"/>
      <w:numFmt w:val="decimal"/>
      <w:lvlText w:val="%1.%2.%3.%4.%5."/>
      <w:lvlJc w:val="left"/>
      <w:pPr>
        <w:ind w:left="1648" w:hanging="1080"/>
      </w:pPr>
      <w:rPr>
        <w:rFonts w:hint="default"/>
        <w:color w:val="000000"/>
        <w:sz w:val="24"/>
      </w:rPr>
    </w:lvl>
    <w:lvl w:ilvl="5">
      <w:start w:val="1"/>
      <w:numFmt w:val="decimal"/>
      <w:lvlText w:val="%1.%2.%3.%4.%5.%6."/>
      <w:lvlJc w:val="left"/>
      <w:pPr>
        <w:ind w:left="1790" w:hanging="1080"/>
      </w:pPr>
      <w:rPr>
        <w:rFonts w:hint="default"/>
        <w:color w:val="000000"/>
        <w:sz w:val="24"/>
      </w:rPr>
    </w:lvl>
    <w:lvl w:ilvl="6">
      <w:start w:val="1"/>
      <w:numFmt w:val="decimal"/>
      <w:lvlText w:val="%1.%2.%3.%4.%5.%6.%7."/>
      <w:lvlJc w:val="left"/>
      <w:pPr>
        <w:ind w:left="2292" w:hanging="1440"/>
      </w:pPr>
      <w:rPr>
        <w:rFonts w:hint="default"/>
        <w:color w:val="000000"/>
        <w:sz w:val="24"/>
      </w:rPr>
    </w:lvl>
    <w:lvl w:ilvl="7">
      <w:start w:val="1"/>
      <w:numFmt w:val="decimal"/>
      <w:lvlText w:val="%1.%2.%3.%4.%5.%6.%7.%8."/>
      <w:lvlJc w:val="left"/>
      <w:pPr>
        <w:ind w:left="2434" w:hanging="1440"/>
      </w:pPr>
      <w:rPr>
        <w:rFonts w:hint="default"/>
        <w:color w:val="000000"/>
        <w:sz w:val="24"/>
      </w:rPr>
    </w:lvl>
    <w:lvl w:ilvl="8">
      <w:start w:val="1"/>
      <w:numFmt w:val="decimal"/>
      <w:lvlText w:val="%1.%2.%3.%4.%5.%6.%7.%8.%9."/>
      <w:lvlJc w:val="left"/>
      <w:pPr>
        <w:ind w:left="2936" w:hanging="1800"/>
      </w:pPr>
      <w:rPr>
        <w:rFonts w:hint="default"/>
        <w:color w:val="000000"/>
        <w:sz w:val="24"/>
      </w:rPr>
    </w:lvl>
  </w:abstractNum>
  <w:abstractNum w:abstractNumId="4" w15:restartNumberingAfterBreak="0">
    <w:nsid w:val="53371ABE"/>
    <w:multiLevelType w:val="multilevel"/>
    <w:tmpl w:val="55B808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BF478D6"/>
    <w:multiLevelType w:val="multilevel"/>
    <w:tmpl w:val="EF1452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7C1"/>
    <w:rsid w:val="000000E2"/>
    <w:rsid w:val="000013AE"/>
    <w:rsid w:val="000029D5"/>
    <w:rsid w:val="000046EE"/>
    <w:rsid w:val="00013C66"/>
    <w:rsid w:val="00042DAF"/>
    <w:rsid w:val="00051D9E"/>
    <w:rsid w:val="00073BCB"/>
    <w:rsid w:val="00075086"/>
    <w:rsid w:val="000752D0"/>
    <w:rsid w:val="00083813"/>
    <w:rsid w:val="0008744F"/>
    <w:rsid w:val="000915E0"/>
    <w:rsid w:val="00091A56"/>
    <w:rsid w:val="00092AA2"/>
    <w:rsid w:val="000A04A0"/>
    <w:rsid w:val="000B100B"/>
    <w:rsid w:val="000B1CBF"/>
    <w:rsid w:val="000E0637"/>
    <w:rsid w:val="000E178F"/>
    <w:rsid w:val="00104E3F"/>
    <w:rsid w:val="001262E1"/>
    <w:rsid w:val="001276A3"/>
    <w:rsid w:val="001364FE"/>
    <w:rsid w:val="00141638"/>
    <w:rsid w:val="00144958"/>
    <w:rsid w:val="00162B27"/>
    <w:rsid w:val="00182DE6"/>
    <w:rsid w:val="001A17D5"/>
    <w:rsid w:val="001A4951"/>
    <w:rsid w:val="001B1CEA"/>
    <w:rsid w:val="001B44A0"/>
    <w:rsid w:val="001C70E7"/>
    <w:rsid w:val="001E3272"/>
    <w:rsid w:val="001F0F16"/>
    <w:rsid w:val="001F2AEE"/>
    <w:rsid w:val="001F7403"/>
    <w:rsid w:val="00200B88"/>
    <w:rsid w:val="00201EFA"/>
    <w:rsid w:val="0020250C"/>
    <w:rsid w:val="00213519"/>
    <w:rsid w:val="00222B04"/>
    <w:rsid w:val="00222F6B"/>
    <w:rsid w:val="00226F8F"/>
    <w:rsid w:val="0022742C"/>
    <w:rsid w:val="00233140"/>
    <w:rsid w:val="002349AB"/>
    <w:rsid w:val="00235724"/>
    <w:rsid w:val="00240668"/>
    <w:rsid w:val="00241D26"/>
    <w:rsid w:val="00243B7F"/>
    <w:rsid w:val="00257E4F"/>
    <w:rsid w:val="0026598D"/>
    <w:rsid w:val="0027378B"/>
    <w:rsid w:val="002738D3"/>
    <w:rsid w:val="00276A3A"/>
    <w:rsid w:val="00283C19"/>
    <w:rsid w:val="00283C73"/>
    <w:rsid w:val="00285140"/>
    <w:rsid w:val="0028640A"/>
    <w:rsid w:val="00286900"/>
    <w:rsid w:val="00287652"/>
    <w:rsid w:val="00291F88"/>
    <w:rsid w:val="002A70B9"/>
    <w:rsid w:val="002B7EDC"/>
    <w:rsid w:val="002C2B8B"/>
    <w:rsid w:val="002C2EDF"/>
    <w:rsid w:val="002D3F22"/>
    <w:rsid w:val="002D4797"/>
    <w:rsid w:val="002F2861"/>
    <w:rsid w:val="002F5DD2"/>
    <w:rsid w:val="003009B4"/>
    <w:rsid w:val="00305897"/>
    <w:rsid w:val="0030726F"/>
    <w:rsid w:val="00307F6B"/>
    <w:rsid w:val="0033185E"/>
    <w:rsid w:val="00332DE4"/>
    <w:rsid w:val="00333A58"/>
    <w:rsid w:val="00333EB4"/>
    <w:rsid w:val="00333F5A"/>
    <w:rsid w:val="00364D7D"/>
    <w:rsid w:val="00371840"/>
    <w:rsid w:val="00371A03"/>
    <w:rsid w:val="003737EF"/>
    <w:rsid w:val="00383EC5"/>
    <w:rsid w:val="003915FE"/>
    <w:rsid w:val="00397974"/>
    <w:rsid w:val="003A7ED1"/>
    <w:rsid w:val="003C6F59"/>
    <w:rsid w:val="003E0DAE"/>
    <w:rsid w:val="003F23D6"/>
    <w:rsid w:val="003F3C3C"/>
    <w:rsid w:val="003F465A"/>
    <w:rsid w:val="00401E36"/>
    <w:rsid w:val="004059B9"/>
    <w:rsid w:val="00412F74"/>
    <w:rsid w:val="004132AC"/>
    <w:rsid w:val="00416E91"/>
    <w:rsid w:val="00423098"/>
    <w:rsid w:val="0042770E"/>
    <w:rsid w:val="00430544"/>
    <w:rsid w:val="00434F2A"/>
    <w:rsid w:val="0043748E"/>
    <w:rsid w:val="00445558"/>
    <w:rsid w:val="004549D8"/>
    <w:rsid w:val="004635E2"/>
    <w:rsid w:val="00463AA8"/>
    <w:rsid w:val="00472B81"/>
    <w:rsid w:val="00483EEC"/>
    <w:rsid w:val="004A41BB"/>
    <w:rsid w:val="004A7C04"/>
    <w:rsid w:val="004B1BCD"/>
    <w:rsid w:val="004B75E6"/>
    <w:rsid w:val="004C1517"/>
    <w:rsid w:val="004C1794"/>
    <w:rsid w:val="004C4B0B"/>
    <w:rsid w:val="004D7926"/>
    <w:rsid w:val="00506BAC"/>
    <w:rsid w:val="00520D0E"/>
    <w:rsid w:val="00526A90"/>
    <w:rsid w:val="00536CA8"/>
    <w:rsid w:val="0054151C"/>
    <w:rsid w:val="00553476"/>
    <w:rsid w:val="00555026"/>
    <w:rsid w:val="00557B0E"/>
    <w:rsid w:val="005608C7"/>
    <w:rsid w:val="005703AB"/>
    <w:rsid w:val="00570C4D"/>
    <w:rsid w:val="00571BAF"/>
    <w:rsid w:val="00572939"/>
    <w:rsid w:val="005748B5"/>
    <w:rsid w:val="005770F7"/>
    <w:rsid w:val="005812D4"/>
    <w:rsid w:val="00587D95"/>
    <w:rsid w:val="00596515"/>
    <w:rsid w:val="005A2582"/>
    <w:rsid w:val="005A2EEE"/>
    <w:rsid w:val="005B6F74"/>
    <w:rsid w:val="005C3B0B"/>
    <w:rsid w:val="005C657E"/>
    <w:rsid w:val="005E49A3"/>
    <w:rsid w:val="005E7370"/>
    <w:rsid w:val="00601C22"/>
    <w:rsid w:val="00602CE6"/>
    <w:rsid w:val="00622EC8"/>
    <w:rsid w:val="00624C36"/>
    <w:rsid w:val="00643B5D"/>
    <w:rsid w:val="006558A4"/>
    <w:rsid w:val="00666702"/>
    <w:rsid w:val="00666B86"/>
    <w:rsid w:val="0068157C"/>
    <w:rsid w:val="006825ED"/>
    <w:rsid w:val="00683811"/>
    <w:rsid w:val="006957AA"/>
    <w:rsid w:val="006A76A5"/>
    <w:rsid w:val="006A7F1E"/>
    <w:rsid w:val="006B608C"/>
    <w:rsid w:val="006C5594"/>
    <w:rsid w:val="006D402E"/>
    <w:rsid w:val="006D501E"/>
    <w:rsid w:val="006D6758"/>
    <w:rsid w:val="006E0814"/>
    <w:rsid w:val="006E31D1"/>
    <w:rsid w:val="006E4F39"/>
    <w:rsid w:val="006F70D7"/>
    <w:rsid w:val="00704FA6"/>
    <w:rsid w:val="007327D9"/>
    <w:rsid w:val="007523F3"/>
    <w:rsid w:val="00752718"/>
    <w:rsid w:val="0075394B"/>
    <w:rsid w:val="00781D38"/>
    <w:rsid w:val="00784A25"/>
    <w:rsid w:val="00795A57"/>
    <w:rsid w:val="007A1858"/>
    <w:rsid w:val="007B31E9"/>
    <w:rsid w:val="007D2AE5"/>
    <w:rsid w:val="007D3FC3"/>
    <w:rsid w:val="007F5A31"/>
    <w:rsid w:val="0080662C"/>
    <w:rsid w:val="0081553F"/>
    <w:rsid w:val="00821A03"/>
    <w:rsid w:val="008225D3"/>
    <w:rsid w:val="00827185"/>
    <w:rsid w:val="008631EB"/>
    <w:rsid w:val="00864602"/>
    <w:rsid w:val="008655CB"/>
    <w:rsid w:val="0087168B"/>
    <w:rsid w:val="00872E5A"/>
    <w:rsid w:val="008755E4"/>
    <w:rsid w:val="00894BA1"/>
    <w:rsid w:val="008C4FD7"/>
    <w:rsid w:val="008D1229"/>
    <w:rsid w:val="008D4B51"/>
    <w:rsid w:val="008D5F02"/>
    <w:rsid w:val="008E6E9C"/>
    <w:rsid w:val="008F600C"/>
    <w:rsid w:val="00900DC9"/>
    <w:rsid w:val="009068C1"/>
    <w:rsid w:val="00907B87"/>
    <w:rsid w:val="009162B2"/>
    <w:rsid w:val="009218B5"/>
    <w:rsid w:val="009219E6"/>
    <w:rsid w:val="00941911"/>
    <w:rsid w:val="009506E9"/>
    <w:rsid w:val="00953A3E"/>
    <w:rsid w:val="009629FA"/>
    <w:rsid w:val="009630D4"/>
    <w:rsid w:val="00963440"/>
    <w:rsid w:val="009637C4"/>
    <w:rsid w:val="00964B6A"/>
    <w:rsid w:val="00967720"/>
    <w:rsid w:val="00967913"/>
    <w:rsid w:val="009755F3"/>
    <w:rsid w:val="009966E6"/>
    <w:rsid w:val="009A7945"/>
    <w:rsid w:val="009B0536"/>
    <w:rsid w:val="009F2FD6"/>
    <w:rsid w:val="009F7E3D"/>
    <w:rsid w:val="00A03CCB"/>
    <w:rsid w:val="00A147A5"/>
    <w:rsid w:val="00A16123"/>
    <w:rsid w:val="00A2215E"/>
    <w:rsid w:val="00A31E76"/>
    <w:rsid w:val="00A34BFF"/>
    <w:rsid w:val="00A37AA0"/>
    <w:rsid w:val="00A412D7"/>
    <w:rsid w:val="00A4279C"/>
    <w:rsid w:val="00A6715C"/>
    <w:rsid w:val="00A82BC8"/>
    <w:rsid w:val="00A84E95"/>
    <w:rsid w:val="00A90158"/>
    <w:rsid w:val="00A90A24"/>
    <w:rsid w:val="00A94215"/>
    <w:rsid w:val="00AA780F"/>
    <w:rsid w:val="00AC15AD"/>
    <w:rsid w:val="00AC53EA"/>
    <w:rsid w:val="00AD209F"/>
    <w:rsid w:val="00AF7AFD"/>
    <w:rsid w:val="00B0116C"/>
    <w:rsid w:val="00B0513E"/>
    <w:rsid w:val="00B16C31"/>
    <w:rsid w:val="00B22147"/>
    <w:rsid w:val="00B24152"/>
    <w:rsid w:val="00B454DE"/>
    <w:rsid w:val="00B4559C"/>
    <w:rsid w:val="00B45832"/>
    <w:rsid w:val="00B47E68"/>
    <w:rsid w:val="00B504F4"/>
    <w:rsid w:val="00B50A1C"/>
    <w:rsid w:val="00B523CE"/>
    <w:rsid w:val="00B53BCF"/>
    <w:rsid w:val="00B63B38"/>
    <w:rsid w:val="00B77961"/>
    <w:rsid w:val="00BB09A9"/>
    <w:rsid w:val="00BB0D86"/>
    <w:rsid w:val="00BB5514"/>
    <w:rsid w:val="00BC241B"/>
    <w:rsid w:val="00BE0061"/>
    <w:rsid w:val="00BE16C1"/>
    <w:rsid w:val="00BE6A75"/>
    <w:rsid w:val="00BF4D12"/>
    <w:rsid w:val="00C001B4"/>
    <w:rsid w:val="00C02EFB"/>
    <w:rsid w:val="00C0786E"/>
    <w:rsid w:val="00C15EA9"/>
    <w:rsid w:val="00C27A8E"/>
    <w:rsid w:val="00C357C1"/>
    <w:rsid w:val="00C4639F"/>
    <w:rsid w:val="00C51CCB"/>
    <w:rsid w:val="00C51EC9"/>
    <w:rsid w:val="00C524A6"/>
    <w:rsid w:val="00C6052A"/>
    <w:rsid w:val="00C61485"/>
    <w:rsid w:val="00C629C7"/>
    <w:rsid w:val="00C65F2E"/>
    <w:rsid w:val="00C84952"/>
    <w:rsid w:val="00C85DA1"/>
    <w:rsid w:val="00C9652C"/>
    <w:rsid w:val="00C97953"/>
    <w:rsid w:val="00CA1657"/>
    <w:rsid w:val="00CA3FE1"/>
    <w:rsid w:val="00CA44B4"/>
    <w:rsid w:val="00CB53CB"/>
    <w:rsid w:val="00CC617A"/>
    <w:rsid w:val="00CD0F88"/>
    <w:rsid w:val="00CD5588"/>
    <w:rsid w:val="00CE2930"/>
    <w:rsid w:val="00CE4522"/>
    <w:rsid w:val="00CE4C01"/>
    <w:rsid w:val="00CE7C53"/>
    <w:rsid w:val="00CF634C"/>
    <w:rsid w:val="00D06BBB"/>
    <w:rsid w:val="00D160CF"/>
    <w:rsid w:val="00D21CA4"/>
    <w:rsid w:val="00D408C9"/>
    <w:rsid w:val="00D445D9"/>
    <w:rsid w:val="00D472FA"/>
    <w:rsid w:val="00D51D9B"/>
    <w:rsid w:val="00D81699"/>
    <w:rsid w:val="00D87F44"/>
    <w:rsid w:val="00D93AC9"/>
    <w:rsid w:val="00DA5B97"/>
    <w:rsid w:val="00DB4FD6"/>
    <w:rsid w:val="00DC5640"/>
    <w:rsid w:val="00DE3E45"/>
    <w:rsid w:val="00DF270D"/>
    <w:rsid w:val="00DF3E54"/>
    <w:rsid w:val="00DF4DA1"/>
    <w:rsid w:val="00E027CE"/>
    <w:rsid w:val="00E069DD"/>
    <w:rsid w:val="00E123AB"/>
    <w:rsid w:val="00E14B96"/>
    <w:rsid w:val="00E202D4"/>
    <w:rsid w:val="00E24202"/>
    <w:rsid w:val="00E37EF4"/>
    <w:rsid w:val="00E44F68"/>
    <w:rsid w:val="00E4616B"/>
    <w:rsid w:val="00E467A6"/>
    <w:rsid w:val="00E569D5"/>
    <w:rsid w:val="00E63D1C"/>
    <w:rsid w:val="00E73783"/>
    <w:rsid w:val="00E76A24"/>
    <w:rsid w:val="00E91432"/>
    <w:rsid w:val="00EA6863"/>
    <w:rsid w:val="00EC024A"/>
    <w:rsid w:val="00EC1033"/>
    <w:rsid w:val="00EC2F99"/>
    <w:rsid w:val="00EC31B7"/>
    <w:rsid w:val="00ED004C"/>
    <w:rsid w:val="00ED6B3C"/>
    <w:rsid w:val="00EF1076"/>
    <w:rsid w:val="00EF33F2"/>
    <w:rsid w:val="00F058F6"/>
    <w:rsid w:val="00F07E4C"/>
    <w:rsid w:val="00F106DA"/>
    <w:rsid w:val="00F1090A"/>
    <w:rsid w:val="00F32596"/>
    <w:rsid w:val="00F33495"/>
    <w:rsid w:val="00F343BC"/>
    <w:rsid w:val="00F35A6C"/>
    <w:rsid w:val="00F42516"/>
    <w:rsid w:val="00F44922"/>
    <w:rsid w:val="00F44A0F"/>
    <w:rsid w:val="00F476BB"/>
    <w:rsid w:val="00F64500"/>
    <w:rsid w:val="00F667AB"/>
    <w:rsid w:val="00F67AFB"/>
    <w:rsid w:val="00F85E0F"/>
    <w:rsid w:val="00F964F0"/>
    <w:rsid w:val="00FA1D78"/>
    <w:rsid w:val="00FA2DF6"/>
    <w:rsid w:val="00FA4E5A"/>
    <w:rsid w:val="00FA54EB"/>
    <w:rsid w:val="00FB1788"/>
    <w:rsid w:val="00FB1C44"/>
    <w:rsid w:val="00FD2AC0"/>
    <w:rsid w:val="00FD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56E9"/>
  <w15:docId w15:val="{F17482DE-5CA1-4867-8195-EFE22811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en-US"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rsid w:val="0028640A"/>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pPr>
      <w:tabs>
        <w:tab w:val="center" w:pos="4153"/>
        <w:tab w:val="right" w:pos="830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link w:val="FooterChar1"/>
    <w:uiPriority w:val="99"/>
    <w:qFormat/>
    <w:pPr>
      <w:tabs>
        <w:tab w:val="center" w:pos="4153"/>
        <w:tab w:val="right" w:pos="8306"/>
      </w:tabs>
    </w:pPr>
  </w:style>
  <w:style w:type="character" w:customStyle="1" w:styleId="FooterChar">
    <w:name w:val="Footer Char"/>
    <w:rPr>
      <w:w w:val="100"/>
      <w:position w:val="-1"/>
      <w:sz w:val="22"/>
      <w:szCs w:val="22"/>
      <w:effect w:val="none"/>
      <w:vertAlign w:val="baseline"/>
      <w:cs w:val="0"/>
      <w:em w:val="none"/>
      <w:lang w:eastAsia="en-US"/>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pPr>
      <w:spacing w:after="0" w:line="240" w:lineRule="auto"/>
      <w:jc w:val="both"/>
    </w:pPr>
    <w:rPr>
      <w:rFonts w:ascii="Times New Roman" w:eastAsia="Times New Roman" w:hAnsi="Times New Roman"/>
      <w:sz w:val="20"/>
      <w:szCs w:val="20"/>
    </w:rPr>
  </w:style>
  <w:style w:type="character" w:customStyle="1" w:styleId="FootnoteTextChar">
    <w:name w:val="Footnote Text Char"/>
    <w:rPr>
      <w:rFonts w:ascii="Times New Roman" w:eastAsia="Times New Roman" w:hAnsi="Times New Roman"/>
      <w:w w:val="100"/>
      <w:position w:val="-1"/>
      <w:effect w:val="none"/>
      <w:vertAlign w:val="baseline"/>
      <w:cs w:val="0"/>
      <w:em w:val="none"/>
      <w:lang w:eastAsia="en-US"/>
    </w:rPr>
  </w:style>
  <w:style w:type="character" w:styleId="FootnoteReference">
    <w:name w:val="footnote reference"/>
    <w:rPr>
      <w:rFonts w:ascii="Times New Roman" w:hAnsi="Times New Roman"/>
      <w:w w:val="100"/>
      <w:position w:val="-1"/>
      <w:effect w:val="none"/>
      <w:vertAlign w:val="superscript"/>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styleId="EndnoteText">
    <w:name w:val="endnote text"/>
    <w:basedOn w:val="Normal"/>
    <w:qFormat/>
    <w:rPr>
      <w:sz w:val="20"/>
      <w:szCs w:val="20"/>
    </w:rPr>
  </w:style>
  <w:style w:type="character" w:customStyle="1" w:styleId="EndnoteTextChar">
    <w:name w:val="Endnote Text Char"/>
    <w:rPr>
      <w:w w:val="100"/>
      <w:position w:val="-1"/>
      <w:effect w:val="none"/>
      <w:vertAlign w:val="baseline"/>
      <w:cs w:val="0"/>
      <w:em w:val="none"/>
      <w:lang w:val="lv-LV"/>
    </w:rPr>
  </w:style>
  <w:style w:type="character" w:styleId="EndnoteReference">
    <w:name w:val="endnote reference"/>
    <w:qFormat/>
    <w:rPr>
      <w:w w:val="100"/>
      <w:position w:val="-1"/>
      <w:effect w:val="none"/>
      <w:vertAlign w:val="superscript"/>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rsid w:val="00CA2389"/>
    <w:pPr>
      <w:widowControl w:val="0"/>
      <w:suppressLineNumbers/>
      <w:spacing w:after="0" w:line="240" w:lineRule="auto"/>
      <w:ind w:leftChars="0" w:left="0" w:firstLineChars="0" w:firstLine="0"/>
      <w:textDirection w:val="lrTb"/>
      <w:textAlignment w:val="auto"/>
      <w:outlineLvl w:val="9"/>
    </w:pPr>
    <w:rPr>
      <w:rFonts w:ascii="Times New Roman" w:eastAsia="Lucida Sans Unicode" w:hAnsi="Times New Roman" w:cs="Tahoma"/>
      <w:position w:val="0"/>
      <w:sz w:val="24"/>
      <w:szCs w:val="24"/>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character" w:customStyle="1" w:styleId="UnresolvedMention1">
    <w:name w:val="Unresolved Mention1"/>
    <w:basedOn w:val="DefaultParagraphFont"/>
    <w:uiPriority w:val="99"/>
    <w:semiHidden/>
    <w:unhideWhenUsed/>
    <w:rsid w:val="00FA4E5A"/>
    <w:rPr>
      <w:color w:val="605E5C"/>
      <w:shd w:val="clear" w:color="auto" w:fill="E1DFDD"/>
    </w:rPr>
  </w:style>
  <w:style w:type="paragraph" w:styleId="Revision">
    <w:name w:val="Revision"/>
    <w:hidden/>
    <w:uiPriority w:val="99"/>
    <w:semiHidden/>
    <w:rsid w:val="009162B2"/>
    <w:pPr>
      <w:spacing w:after="0" w:line="240" w:lineRule="auto"/>
      <w:ind w:firstLine="0"/>
    </w:pPr>
    <w:rPr>
      <w:position w:val="-1"/>
    </w:rPr>
  </w:style>
  <w:style w:type="character" w:customStyle="1" w:styleId="FooterChar1">
    <w:name w:val="Footer Char1"/>
    <w:basedOn w:val="DefaultParagraphFont"/>
    <w:link w:val="Footer"/>
    <w:uiPriority w:val="99"/>
    <w:rsid w:val="004549D8"/>
    <w:rPr>
      <w:position w:val="-1"/>
    </w:rPr>
  </w:style>
  <w:style w:type="character" w:styleId="UnresolvedMention">
    <w:name w:val="Unresolved Mention"/>
    <w:basedOn w:val="DefaultParagraphFont"/>
    <w:uiPriority w:val="99"/>
    <w:semiHidden/>
    <w:unhideWhenUsed/>
    <w:rsid w:val="002738D3"/>
    <w:rPr>
      <w:color w:val="605E5C"/>
      <w:shd w:val="clear" w:color="auto" w:fill="E1DFDD"/>
    </w:r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name w:val="a"/>
    <w:basedOn w:val="TableNormal"/>
    <w:rsid w:val="0028640A"/>
    <w:rPr>
      <w:lang w:eastAsia="lv-LV"/>
    </w:rPr>
    <w:tblPr>
      <w:tblStyleRowBandSize w:val="1"/>
      <w:tblStyleColBandSize w:val="1"/>
      <w:tblCellMar>
        <w:top w:w="55" w:type="dxa"/>
        <w:left w:w="55" w:type="dxa"/>
        <w:bottom w:w="55" w:type="dxa"/>
        <w:right w:w="55" w:type="dxa"/>
      </w:tblCellMar>
    </w:tblPr>
  </w:style>
  <w:style w:type="table" w:customStyle="1" w:styleId="a00">
    <w:name w:val="a0"/>
    <w:basedOn w:val="TableNormal"/>
    <w:rsid w:val="0028640A"/>
    <w:rPr>
      <w:lang w:eastAsia="lv-LV"/>
    </w:rPr>
    <w:tblPr>
      <w:tblStyleRowBandSize w:val="1"/>
      <w:tblStyleColBandSize w:val="1"/>
      <w:tblCellMar>
        <w:top w:w="55" w:type="dxa"/>
        <w:left w:w="55" w:type="dxa"/>
        <w:bottom w:w="55" w:type="dxa"/>
        <w:right w:w="55" w:type="dxa"/>
      </w:tblCellMar>
    </w:tblPr>
  </w:style>
  <w:style w:type="character" w:customStyle="1" w:styleId="Neatrisintapieminana1">
    <w:name w:val="Neatrisināta pieminēšana1"/>
    <w:basedOn w:val="DefaultParagraphFont"/>
    <w:uiPriority w:val="99"/>
    <w:semiHidden/>
    <w:unhideWhenUsed/>
    <w:rsid w:val="0028640A"/>
    <w:rPr>
      <w:color w:val="605E5C"/>
      <w:shd w:val="clear" w:color="auto" w:fill="E1DFDD"/>
    </w:rPr>
  </w:style>
  <w:style w:type="character" w:customStyle="1" w:styleId="cf01">
    <w:name w:val="cf01"/>
    <w:basedOn w:val="DefaultParagraphFont"/>
    <w:rsid w:val="00F667AB"/>
    <w:rPr>
      <w:rFonts w:ascii="Segoe UI" w:hAnsi="Segoe UI" w:cs="Segoe UI" w:hint="default"/>
      <w:sz w:val="18"/>
      <w:szCs w:val="18"/>
      <w:shd w:val="clear" w:color="auto" w:fill="FFFF00"/>
    </w:rPr>
  </w:style>
  <w:style w:type="character" w:customStyle="1" w:styleId="cf11">
    <w:name w:val="cf11"/>
    <w:basedOn w:val="DefaultParagraphFont"/>
    <w:rsid w:val="00F667AB"/>
    <w:rPr>
      <w:rFonts w:ascii="Segoe UI" w:hAnsi="Segoe UI" w:cs="Segoe UI" w:hint="default"/>
      <w:i/>
      <w:iCs/>
      <w:sz w:val="18"/>
      <w:szCs w:val="18"/>
      <w:shd w:val="clear" w:color="auto" w:fill="FFFF00"/>
    </w:rPr>
  </w:style>
  <w:style w:type="table" w:styleId="TableGrid">
    <w:name w:val="Table Grid"/>
    <w:basedOn w:val="TableNormal"/>
    <w:uiPriority w:val="39"/>
    <w:rsid w:val="00D472FA"/>
    <w:pPr>
      <w:spacing w:after="0" w:line="240" w:lineRule="auto"/>
      <w:ind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84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zeknesnovads.lv" TargetMode="External"/><Relationship Id="rId18" Type="http://schemas.openxmlformats.org/officeDocument/2006/relationships/hyperlink" Target="http://www.rezeknesnovads.lv" TargetMode="Externa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rezeknesnovads.lv"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evita.igaune@rezeknesnovads.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zeknesnovads.lv"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info@rezeknesnovads.lv"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info@rezeknesnovads.lv"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rezeknesnovads.lv" TargetMode="External"/><Relationship Id="rId22" Type="http://schemas.openxmlformats.org/officeDocument/2006/relationships/footer" Target="foot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eli/reg/2013/1407?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y/K2Ea70DBef2LbX5rptA1tW+w==">AMUW2mUBhdfLcaT7SKGRwtW+7KSlSMft2IxSp71UTGqqzn4K78naK1okjU0SDVHNMfisgXARobbiR/vUPb6ARKiwcvqoqUoBkBmxtX5JF6J2UBC/iMoEyEyU/hNFW+jeI29axgiixGu/V2DmLhJ+LmOiHKKZ+8XZqMSZUO2AtnoTOtdycFjvItY=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A79089-06AE-43B1-BF24-493B1F2E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11</Pages>
  <Words>3778</Words>
  <Characters>21537</Characters>
  <Application>Microsoft Office Word</Application>
  <DocSecurity>0</DocSecurity>
  <Lines>179</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Jana.Juskevica</dc:creator>
  <cp:lastModifiedBy>Darbinieks</cp:lastModifiedBy>
  <cp:revision>32</cp:revision>
  <cp:lastPrinted>2023-05-17T07:42:00Z</cp:lastPrinted>
  <dcterms:created xsi:type="dcterms:W3CDTF">2023-01-20T08:31:00Z</dcterms:created>
  <dcterms:modified xsi:type="dcterms:W3CDTF">2023-05-18T07:08:00Z</dcterms:modified>
</cp:coreProperties>
</file>