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9E15" w14:textId="77777777" w:rsidR="00764A51" w:rsidRDefault="00764A51">
      <w:pPr>
        <w:spacing w:before="100" w:beforeAutospacing="1" w:after="0" w:line="293" w:lineRule="atLeast"/>
        <w:ind w:left="252" w:hanging="25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B844A7" w14:textId="77777777" w:rsidR="00764A51" w:rsidRDefault="00E43DC3">
      <w:pPr>
        <w:numPr>
          <w:ilvl w:val="0"/>
          <w:numId w:val="1"/>
        </w:numPr>
        <w:ind w:right="-1192"/>
        <w:jc w:val="right"/>
        <w:rPr>
          <w:b/>
          <w:iCs/>
        </w:rPr>
      </w:pPr>
      <w:r>
        <w:rPr>
          <w:b/>
          <w:iCs/>
        </w:rPr>
        <w:t>Pielikums</w:t>
      </w:r>
    </w:p>
    <w:p w14:paraId="632E76E9" w14:textId="77777777" w:rsidR="00764A51" w:rsidRDefault="00E43DC3">
      <w:pPr>
        <w:numPr>
          <w:ilvl w:val="0"/>
          <w:numId w:val="1"/>
        </w:numPr>
        <w:ind w:right="-1192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Rēzeknes novada pašvaldības izpilddirektora</w:t>
      </w:r>
    </w:p>
    <w:p w14:paraId="0894A3FC" w14:textId="77777777" w:rsidR="00764A51" w:rsidRDefault="00E43DC3">
      <w:pPr>
        <w:ind w:right="-1192"/>
        <w:jc w:val="right"/>
        <w:rPr>
          <w:bCs/>
          <w:iCs/>
          <w:sz w:val="14"/>
          <w:szCs w:val="14"/>
        </w:rPr>
      </w:pPr>
      <w:r>
        <w:rPr>
          <w:bCs/>
          <w:iCs/>
          <w:sz w:val="20"/>
          <w:szCs w:val="20"/>
        </w:rPr>
        <w:t>2023.gada 24.februāra rīkojumam Nr. RNP/2023/3.6/98</w:t>
      </w:r>
    </w:p>
    <w:p w14:paraId="4963BE22" w14:textId="77777777" w:rsidR="00764A51" w:rsidRDefault="00764A51">
      <w:pPr>
        <w:spacing w:before="100" w:beforeAutospacing="1" w:after="0" w:line="293" w:lineRule="atLeast"/>
        <w:ind w:left="252" w:hanging="25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815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08"/>
        <w:gridCol w:w="2430"/>
        <w:gridCol w:w="397"/>
        <w:gridCol w:w="2258"/>
        <w:gridCol w:w="3922"/>
      </w:tblGrid>
      <w:tr w:rsidR="00764A51" w14:paraId="282E176F" w14:textId="77777777">
        <w:tc>
          <w:tcPr>
            <w:tcW w:w="161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1F20D" w14:textId="77777777" w:rsidR="00764A51" w:rsidRDefault="00764A51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2F8C14" w14:textId="77777777" w:rsidR="00764A51" w:rsidRDefault="00764A51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1DAD50" w14:textId="77777777" w:rsidR="00764A51" w:rsidRDefault="00E43DC3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 iestāde „</w:t>
            </w:r>
            <w:r w:rsidRPr="00946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Viļānu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66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8EABEF" w14:textId="77777777" w:rsidR="00764A51" w:rsidRDefault="00E43DC3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20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66A972" w14:textId="77777777" w:rsidR="00764A51" w:rsidRPr="00946472" w:rsidRDefault="00E43DC3">
            <w:pPr>
              <w:ind w:right="249"/>
              <w:jc w:val="right"/>
              <w:rPr>
                <w:b/>
                <w:lang w:eastAsia="lv-LV"/>
              </w:rPr>
            </w:pPr>
            <w:r>
              <w:rPr>
                <w:b/>
                <w:lang w:eastAsia="lv-LV"/>
              </w:rPr>
              <w:t>APSTIPRINU</w:t>
            </w:r>
            <w:r w:rsidRPr="00946472">
              <w:rPr>
                <w:b/>
                <w:lang w:eastAsia="lv-LV"/>
              </w:rPr>
              <w:t>:</w:t>
            </w:r>
          </w:p>
          <w:p w14:paraId="637F480A" w14:textId="77777777" w:rsidR="00764A51" w:rsidRPr="00946472" w:rsidRDefault="00E43DC3">
            <w:pPr>
              <w:wordWrap w:val="0"/>
              <w:ind w:right="249"/>
              <w:jc w:val="right"/>
              <w:rPr>
                <w:b/>
                <w:lang w:eastAsia="lv-LV"/>
              </w:rPr>
            </w:pPr>
            <w:r w:rsidRPr="00946472">
              <w:rPr>
                <w:b/>
                <w:lang w:eastAsia="lv-LV"/>
              </w:rPr>
              <w:t xml:space="preserve">Viļānu apvienības pārvaldes </w:t>
            </w:r>
          </w:p>
          <w:p w14:paraId="24FB885E" w14:textId="77777777" w:rsidR="00764A51" w:rsidRPr="00946472" w:rsidRDefault="00E43DC3">
            <w:pPr>
              <w:wordWrap w:val="0"/>
              <w:ind w:right="249"/>
              <w:jc w:val="right"/>
              <w:rPr>
                <w:b/>
                <w:lang w:eastAsia="lv-LV"/>
              </w:rPr>
            </w:pPr>
            <w:r w:rsidRPr="00946472">
              <w:rPr>
                <w:b/>
                <w:lang w:eastAsia="lv-LV"/>
              </w:rPr>
              <w:t>vadītājs</w:t>
            </w:r>
          </w:p>
          <w:p w14:paraId="60AB44BB" w14:textId="77777777" w:rsidR="00764A51" w:rsidRDefault="00E43DC3">
            <w:pPr>
              <w:pStyle w:val="Nosaukums"/>
              <w:wordWrap w:val="0"/>
              <w:ind w:right="25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Ivars Ikaunieks</w:t>
            </w:r>
          </w:p>
          <w:p w14:paraId="257897D2" w14:textId="77777777" w:rsidR="00764A51" w:rsidRDefault="00E43DC3">
            <w:pPr>
              <w:pStyle w:val="Nosaukums"/>
              <w:ind w:right="25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(iestādes vadītājs)</w:t>
            </w:r>
          </w:p>
          <w:p w14:paraId="1E651D9F" w14:textId="77777777" w:rsidR="00764A51" w:rsidRDefault="00E43DC3" w:rsidP="00946472">
            <w:pPr>
              <w:pStyle w:val="Nosaukums"/>
              <w:ind w:right="250"/>
              <w:jc w:val="right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Viļānī, 2023.gada </w:t>
            </w:r>
            <w:r w:rsidR="00946472">
              <w:rPr>
                <w:b w:val="0"/>
                <w:bCs w:val="0"/>
                <w:sz w:val="24"/>
              </w:rPr>
              <w:t>__________</w:t>
            </w:r>
          </w:p>
        </w:tc>
      </w:tr>
      <w:tr w:rsidR="00764A51" w14:paraId="16A84843" w14:textId="77777777">
        <w:trPr>
          <w:trHeight w:val="523"/>
        </w:trPr>
        <w:tc>
          <w:tcPr>
            <w:tcW w:w="18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45B96C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saimniecības pārzinis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E70B47" w14:textId="77777777" w:rsidR="00764A51" w:rsidRDefault="00E43DC3">
            <w:pPr>
              <w:spacing w:after="0" w:line="240" w:lineRule="auto"/>
              <w:ind w:left="451" w:right="11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764A51" w14:paraId="10BCE080" w14:textId="77777777">
        <w:trPr>
          <w:trHeight w:val="343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0E8DEEC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 xml:space="preserve">Struktūrvienība – </w:t>
            </w:r>
            <w:r w:rsidR="00946472">
              <w:rPr>
                <w:rFonts w:ascii="Times New Roman" w:hAnsi="Times New Roman" w:cs="Times New Roman"/>
                <w:sz w:val="24"/>
                <w:szCs w:val="24"/>
              </w:rPr>
              <w:t xml:space="preserve">Teritoriālā vienība – Sokolku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</w:p>
        </w:tc>
      </w:tr>
      <w:tr w:rsidR="00764A51" w14:paraId="3BC19F61" w14:textId="77777777">
        <w:tc>
          <w:tcPr>
            <w:tcW w:w="18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FD3D08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 xml:space="preserve">Profesijas kods – </w:t>
            </w:r>
            <w:r>
              <w:rPr>
                <w:rFonts w:ascii="Times New Roman" w:hAnsi="Times New Roman" w:cs="Times New Roman"/>
                <w:bCs/>
                <w:sz w:val="25"/>
              </w:rPr>
              <w:t>5151 11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1B2E07" w14:textId="77777777" w:rsidR="00764A51" w:rsidRDefault="00E43DC3">
            <w:pPr>
              <w:spacing w:after="0" w:line="240" w:lineRule="auto"/>
              <w:ind w:left="308" w:right="119" w:hanging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saime un līmenis – </w:t>
            </w:r>
            <w:r>
              <w:rPr>
                <w:rFonts w:ascii="Times New Roman" w:hAnsi="Times New Roman" w:cs="Times New Roman"/>
                <w:bCs/>
                <w:sz w:val="25"/>
              </w:rPr>
              <w:t xml:space="preserve">  3 apakšsaime  - I līmenis</w:t>
            </w:r>
          </w:p>
        </w:tc>
      </w:tr>
      <w:tr w:rsidR="00764A51" w14:paraId="43D461A0" w14:textId="77777777">
        <w:tc>
          <w:tcPr>
            <w:tcW w:w="18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0C281B" w14:textId="77777777" w:rsidR="00764A51" w:rsidRDefault="00E43DC3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Tiešais vadītājs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iestādes vadītāja vietnieks saimnieciskajos jautājumos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6B3B73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 6.1.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Funkcionālais vadītājs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iestādes vadītājs</w:t>
            </w:r>
          </w:p>
        </w:tc>
      </w:tr>
      <w:tr w:rsidR="00764A51" w14:paraId="62F2F3FE" w14:textId="77777777">
        <w:tc>
          <w:tcPr>
            <w:tcW w:w="18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B20F77" w14:textId="77777777" w:rsidR="00764A51" w:rsidRDefault="00E43DC3">
            <w:pPr>
              <w:spacing w:after="0" w:line="240" w:lineRule="auto"/>
              <w:ind w:left="260" w:right="259" w:hanging="2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Tiek aizvietots ar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citu struktūrvienības saimniecības pārzini vai iestādes darbinieku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0827FD" w14:textId="77777777" w:rsidR="00764A51" w:rsidRDefault="00E43DC3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Aizvieto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citu struktūrvienības saimniecības pārzini vai iestādes darbinieku</w:t>
            </w:r>
          </w:p>
        </w:tc>
      </w:tr>
      <w:tr w:rsidR="00764A51" w14:paraId="3E8FD38B" w14:textId="77777777">
        <w:trPr>
          <w:trHeight w:val="282"/>
        </w:trPr>
        <w:tc>
          <w:tcPr>
            <w:tcW w:w="18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7445F" w14:textId="77777777" w:rsidR="00764A51" w:rsidRDefault="00E43DC3">
            <w:pPr>
              <w:spacing w:after="0" w:line="240" w:lineRule="auto"/>
              <w:ind w:left="260" w:right="119" w:hanging="2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Iekšējā sadarbība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ar visiem struktūrvienības un Iestādes darbiniekiem, pašvaldības Centrālo pārvaldi un pašvaldības vadību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56B5F8" w14:textId="77777777" w:rsidR="00764A51" w:rsidRDefault="00E43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Ārējā sadarbība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citām pašvaldības un valsts iestādēm, pašvaldības kapitālsabiedrībām,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764A51" w14:paraId="320E4835" w14:textId="7777777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B35D47" w14:textId="77777777" w:rsidR="00764A51" w:rsidRDefault="00E43DC3">
            <w:pPr>
              <w:spacing w:after="0" w:line="240" w:lineRule="auto"/>
              <w:ind w:left="260" w:right="119" w:hanging="260"/>
              <w:jc w:val="both"/>
              <w:rPr>
                <w:rFonts w:ascii="Times New Roman" w:hAnsi="Times New Roman" w:cs="Times New Roman"/>
                <w:b/>
                <w:bCs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9. 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 xml:space="preserve">Amata mērķis – </w:t>
            </w:r>
            <w:r>
              <w:rPr>
                <w:rFonts w:ascii="Times New Roman" w:hAnsi="Times New Roman" w:cs="Times New Roman"/>
                <w:bCs/>
                <w:sz w:val="25"/>
              </w:rPr>
              <w:t xml:space="preserve">veikt saimnieciskos procesus </w:t>
            </w:r>
            <w:r w:rsidR="00946472">
              <w:rPr>
                <w:rFonts w:ascii="Times New Roman" w:hAnsi="Times New Roman" w:cs="Times New Roman"/>
                <w:bCs/>
                <w:sz w:val="25"/>
              </w:rPr>
              <w:t>Sokolku</w:t>
            </w:r>
            <w:r>
              <w:rPr>
                <w:rFonts w:ascii="Times New Roman" w:hAnsi="Times New Roman" w:cs="Times New Roman"/>
                <w:bCs/>
                <w:sz w:val="25"/>
              </w:rPr>
              <w:t xml:space="preserve"> pagastā nodrošinot pašvaldības īpašumu un mantas lietderīgu apsaimniekošanu un saglabāšanu, komunālo pakalpojumu pieejamību, skolēnu pārvadājumus, pašvaldības autoceļu uzturēšanu, teritoriju labiekārtošanu, ielu apgaismošanu, kapsētu uzturēšanu u.c. iestādes uzticētos pienākumus.</w:t>
            </w:r>
          </w:p>
        </w:tc>
      </w:tr>
      <w:tr w:rsidR="00764A51" w14:paraId="15D44BC7" w14:textId="7777777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F4E3CE" w14:textId="77777777" w:rsidR="00764A51" w:rsidRDefault="00E43D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Amata pienākumi:</w:t>
            </w:r>
          </w:p>
        </w:tc>
      </w:tr>
      <w:tr w:rsidR="00764A51" w14:paraId="44F1CE04" w14:textId="77777777">
        <w:tc>
          <w:tcPr>
            <w:tcW w:w="36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C6BC107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D8D1B5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Kontrolēt ūdensvada, kanalizācijas tīklu, pareizu ekspluatāciju. Organizēt avāriju un bojājumu novēršanu ūdensvada un kanalizācijas sistēmās, kontrolēt dzeramā ūdens patēriņa.</w:t>
            </w:r>
          </w:p>
        </w:tc>
      </w:tr>
      <w:tr w:rsidR="00764A51" w14:paraId="208EBA10" w14:textId="77777777">
        <w:tc>
          <w:tcPr>
            <w:tcW w:w="364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B795150" w14:textId="77777777" w:rsidR="00764A51" w:rsidRDefault="00764A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312614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Kontrolēt ūdens skaitītāju uzstādīšanu un to verifikācijas termiņu ievērošanu pagasta objektos.</w:t>
            </w:r>
          </w:p>
        </w:tc>
      </w:tr>
      <w:tr w:rsidR="00764A51" w14:paraId="2D2FDA6E" w14:textId="77777777">
        <w:trPr>
          <w:trHeight w:val="550"/>
        </w:trPr>
        <w:tc>
          <w:tcPr>
            <w:tcW w:w="36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E84C7C3" w14:textId="77777777" w:rsidR="00764A51" w:rsidRDefault="00946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66F05669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Kontrolēt autoceļu ikdienas un periodiskās uzturēšanas darbu veikšanu, autoceļu greiderēšanu un attīrīšanu no sniega ziemas laikā, grants karjeru apsaimniekošanu;</w:t>
            </w:r>
          </w:p>
        </w:tc>
      </w:tr>
      <w:tr w:rsidR="00764A51" w14:paraId="3A1030F6" w14:textId="77777777">
        <w:trPr>
          <w:trHeight w:val="279"/>
        </w:trPr>
        <w:tc>
          <w:tcPr>
            <w:tcW w:w="364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1FDB7119" w14:textId="77777777" w:rsidR="00764A51" w:rsidRDefault="00764A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5" w:type="pct"/>
            <w:gridSpan w:val="4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08E9C55" w14:textId="77777777" w:rsidR="00764A51" w:rsidRDefault="00E43DC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 publisko laukumu, parku teritoriju labiekārtošanu un kapsētu uzturēšanu; atbildēt par ielu apgaismojuma tīklu uzturēšanu, efektīvu lietošanu;</w:t>
            </w:r>
          </w:p>
        </w:tc>
      </w:tr>
      <w:tr w:rsidR="00764A51" w14:paraId="3CA00924" w14:textId="77777777">
        <w:trPr>
          <w:trHeight w:val="393"/>
        </w:trPr>
        <w:tc>
          <w:tcPr>
            <w:tcW w:w="36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A331D2B" w14:textId="77777777" w:rsidR="00764A51" w:rsidRDefault="0094647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35F2BF42" w14:textId="77777777" w:rsidR="00764A51" w:rsidRDefault="00E43DC3">
            <w:pPr>
              <w:spacing w:after="0" w:line="24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Nodrošināt skolēnu pārvadājumus, nodrošināt autotransporta tehniskā stāvokļa kontroli, nobraukumu, degvielas izlietojumu.</w:t>
            </w:r>
          </w:p>
        </w:tc>
      </w:tr>
      <w:tr w:rsidR="00764A51" w14:paraId="6501279B" w14:textId="77777777">
        <w:trPr>
          <w:trHeight w:val="454"/>
        </w:trPr>
        <w:tc>
          <w:tcPr>
            <w:tcW w:w="36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8B6C76" w14:textId="77777777" w:rsidR="00764A51" w:rsidRDefault="00764A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635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CCE886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Kontrolēt transportlīdzekļu tehnisko apskašu veikšanu un obligāto civiltiesisko apdrošināšanas polišu darbības termiņus;</w:t>
            </w:r>
          </w:p>
        </w:tc>
      </w:tr>
      <w:tr w:rsidR="00764A51" w14:paraId="5D17DBFF" w14:textId="77777777">
        <w:trPr>
          <w:trHeight w:val="454"/>
        </w:trPr>
        <w:tc>
          <w:tcPr>
            <w:tcW w:w="364" w:type="pct"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957B9" w14:textId="77777777" w:rsidR="00764A51" w:rsidRDefault="0094647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635" w:type="pct"/>
            <w:gridSpan w:val="4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873C0F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Kontrolēt</w:t>
            </w:r>
            <w:r w:rsidR="00946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labiekārtošanas iekārtu un aprīkojuma pareizu ekspluatāciju, degvielas, smērvielu un rezerves daļu izlietojumu;</w:t>
            </w:r>
          </w:p>
        </w:tc>
      </w:tr>
      <w:tr w:rsidR="00764A51" w14:paraId="2DCDACFB" w14:textId="77777777">
        <w:trPr>
          <w:trHeight w:val="270"/>
        </w:trPr>
        <w:tc>
          <w:tcPr>
            <w:tcW w:w="36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75FA997" w14:textId="77777777" w:rsidR="00764A51" w:rsidRDefault="0094647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2BF9EB89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Savas kompetences ietvaros uzraudzīt darba aizsardzības un ugunsdrošības noteikumu ievērošanu objektos; kontrolēt aprīkojuma iegādi un izlietojumu;</w:t>
            </w:r>
          </w:p>
        </w:tc>
      </w:tr>
      <w:tr w:rsidR="00764A51" w14:paraId="2A25C986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71D43A" w14:textId="77777777" w:rsidR="00764A51" w:rsidRDefault="0094647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E79402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Atbildēt par iestādes ēku (telpu) uzturēšanu, lietošanu un saglabāšanu; organizēt kosmētiskos un citus telpu remontus; plānot un organizēt saimniecības preču, būvmateriālu un citu preču un materiālu iegādi saskaņā ar iestādes apstiprināto tāmi elektroniskajā iepirkumu sistēmā un tirdzniecības punktos atbilstoši iestādes vadītāja vai vietnieka rakstiskam pilnvarojumam;</w:t>
            </w:r>
          </w:p>
        </w:tc>
      </w:tr>
      <w:tr w:rsidR="00764A51" w14:paraId="3B38EF03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B0E762" w14:textId="77777777" w:rsidR="00764A51" w:rsidRDefault="0094647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10.8.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A95BF0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Plānot, vadīt un kontrolēt padoto darbinieku darbu, tajā skaitā algotos pagaidu darbos nodarbināto personu darbu, probācijas dienesta klientu darbu</w:t>
            </w:r>
          </w:p>
        </w:tc>
      </w:tr>
      <w:tr w:rsidR="00764A51" w14:paraId="7AB2BC49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36245A" w14:textId="77777777" w:rsidR="00764A51" w:rsidRDefault="0094647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10.9.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1D5781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Sadarboties ar iestādes vadītāja vietnieku plānošanas, nekustamo īpašumu apsaimniekošanas un kontroles jautājumos;</w:t>
            </w:r>
          </w:p>
        </w:tc>
      </w:tr>
      <w:tr w:rsidR="00764A51" w14:paraId="112EC4DA" w14:textId="7777777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EE4736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764A51" w14:paraId="71246898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A4297B1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C2397D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Ētiskums</w:t>
            </w:r>
          </w:p>
        </w:tc>
      </w:tr>
      <w:tr w:rsidR="00764A51" w14:paraId="506270D7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CCD768C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1499EEC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Darbs komandā</w:t>
            </w:r>
          </w:p>
        </w:tc>
      </w:tr>
      <w:tr w:rsidR="00764A51" w14:paraId="06671E6C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6B8FCF48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0FDB92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Plānošana, vadīšana un organizēšana</w:t>
            </w:r>
          </w:p>
        </w:tc>
      </w:tr>
      <w:tr w:rsidR="00764A51" w14:paraId="1F76BF64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D06D96B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4ACFC2F3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64A51" w14:paraId="0AD1B5A3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9993460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57B0091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Elastīga domāšana</w:t>
            </w:r>
          </w:p>
        </w:tc>
      </w:tr>
      <w:tr w:rsidR="00764A51" w14:paraId="012125B2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A31E48A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719500F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Augsta saskarsmes kultūra, atbildības sajūta un precizitāte</w:t>
            </w:r>
          </w:p>
        </w:tc>
      </w:tr>
      <w:tr w:rsidR="00764A51" w14:paraId="475BBF3A" w14:textId="7777777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AFD3C2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764A51" w14:paraId="4F23180E" w14:textId="77777777">
        <w:trPr>
          <w:trHeight w:val="224"/>
        </w:trPr>
        <w:tc>
          <w:tcPr>
            <w:tcW w:w="181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C3DBEE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8F45A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profesionālā vai augstākā izglītība</w:t>
            </w:r>
          </w:p>
        </w:tc>
      </w:tr>
      <w:tr w:rsidR="00764A51" w14:paraId="33F5982B" w14:textId="77777777">
        <w:trPr>
          <w:trHeight w:val="246"/>
        </w:trPr>
        <w:tc>
          <w:tcPr>
            <w:tcW w:w="1819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05EB87D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D8605D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 saimniecisko procesu organizēšanā un vadīšanā</w:t>
            </w:r>
          </w:p>
        </w:tc>
      </w:tr>
      <w:tr w:rsidR="00764A51" w14:paraId="14E98C7C" w14:textId="77777777">
        <w:trPr>
          <w:trHeight w:val="246"/>
        </w:trPr>
        <w:tc>
          <w:tcPr>
            <w:tcW w:w="1819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B6EED" w14:textId="77777777" w:rsidR="00764A51" w:rsidRDefault="00764A5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3B7AF9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 darba pieredze pašvaldības institūcijā vai valsts pārvaldē </w:t>
            </w:r>
          </w:p>
        </w:tc>
      </w:tr>
      <w:tr w:rsidR="00764A51" w14:paraId="72DFB4E1" w14:textId="77777777">
        <w:tc>
          <w:tcPr>
            <w:tcW w:w="1819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EBF2558" w14:textId="77777777" w:rsidR="00764A51" w:rsidRDefault="00E43DC3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0898ED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Praktiskās un normatīvo aktu zināšanas saimniecisko procesu organizēšanas un vadīšanas jomā, spēja orientēties jomu reglamentējošajos normatīvajos aktos un pielietot tos</w:t>
            </w:r>
          </w:p>
        </w:tc>
      </w:tr>
      <w:tr w:rsidR="00764A51" w14:paraId="689EECE6" w14:textId="77777777">
        <w:tc>
          <w:tcPr>
            <w:tcW w:w="1819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B2B1474" w14:textId="77777777" w:rsidR="00764A51" w:rsidRDefault="00764A51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BC4B3C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</w:t>
            </w:r>
            <w:r w:rsidR="00946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apjoma dokumentus, novērtēt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 atbilstību tehniskajām prasībām un normatīvajam ietvaram</w:t>
            </w:r>
          </w:p>
        </w:tc>
      </w:tr>
      <w:tr w:rsidR="00764A51" w14:paraId="4A4683D8" w14:textId="77777777">
        <w:tc>
          <w:tcPr>
            <w:tcW w:w="1819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3F324EC" w14:textId="77777777" w:rsidR="00764A51" w:rsidRDefault="00764A51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DC44C2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764A51" w14:paraId="00499823" w14:textId="77777777">
        <w:tc>
          <w:tcPr>
            <w:tcW w:w="1819" w:type="pct"/>
            <w:gridSpan w:val="3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0E3CC63F" w14:textId="77777777" w:rsidR="00764A51" w:rsidRDefault="00764A51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8E0B05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analizēt situāciju un rīcības sekas, atrast piemērotāko risinājumu</w:t>
            </w:r>
          </w:p>
        </w:tc>
      </w:tr>
      <w:tr w:rsidR="00764A51" w14:paraId="724253D8" w14:textId="77777777">
        <w:tc>
          <w:tcPr>
            <w:tcW w:w="1819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5E179C" w14:textId="77777777" w:rsidR="00764A51" w:rsidRDefault="00764A51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BC8B8D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zināšanas par pašvaldības darbību, tās organizatorisko struktūru un pārvaldes sistēmu</w:t>
            </w:r>
          </w:p>
        </w:tc>
      </w:tr>
      <w:tr w:rsidR="00764A51" w14:paraId="49FE5694" w14:textId="77777777">
        <w:trPr>
          <w:trHeight w:val="304"/>
        </w:trPr>
        <w:tc>
          <w:tcPr>
            <w:tcW w:w="1819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5978B70" w14:textId="77777777" w:rsidR="00764A51" w:rsidRDefault="00E43DC3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CD3F33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764A51" w14:paraId="51C3753D" w14:textId="77777777">
        <w:trPr>
          <w:trHeight w:val="304"/>
        </w:trPr>
        <w:tc>
          <w:tcPr>
            <w:tcW w:w="1819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D4C3772" w14:textId="77777777" w:rsidR="00764A51" w:rsidRDefault="00764A51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F7D56D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764A51" w14:paraId="56F0D42F" w14:textId="77777777">
        <w:trPr>
          <w:trHeight w:val="304"/>
        </w:trPr>
        <w:tc>
          <w:tcPr>
            <w:tcW w:w="1819" w:type="pct"/>
            <w:gridSpan w:val="3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275794E" w14:textId="77777777" w:rsidR="00764A51" w:rsidRDefault="00764A51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BB7E7F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elektroniskajām dokumentu vadības un citām sistēmām</w:t>
            </w:r>
          </w:p>
        </w:tc>
      </w:tr>
      <w:tr w:rsidR="00764A51" w14:paraId="3F511502" w14:textId="77777777">
        <w:trPr>
          <w:trHeight w:val="304"/>
        </w:trPr>
        <w:tc>
          <w:tcPr>
            <w:tcW w:w="1819" w:type="pct"/>
            <w:gridSpan w:val="3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08E743" w14:textId="77777777" w:rsidR="00764A51" w:rsidRDefault="00764A51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18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9CED87" w14:textId="77777777" w:rsidR="00764A51" w:rsidRDefault="00E43DC3">
            <w:pPr>
              <w:spacing w:after="0" w:line="240" w:lineRule="auto"/>
              <w:ind w:left="116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apliecība;</w:t>
            </w:r>
          </w:p>
        </w:tc>
      </w:tr>
      <w:tr w:rsidR="00764A51" w14:paraId="1DBE199F" w14:textId="7777777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9FB3B6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atbildība:</w:t>
            </w:r>
          </w:p>
        </w:tc>
      </w:tr>
      <w:tr w:rsidR="00764A51" w14:paraId="4632A24B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E9ADB3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B963B3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amata aprakstā noteikto pienākumu savlaicīgu un kvalitatīvu izpildi, tiešā vadītāja un funkcionālā vadītāja uzdevumu kvalitatīvu izpildi un izpildi noteiktajā termiņā</w:t>
            </w:r>
          </w:p>
        </w:tc>
      </w:tr>
      <w:tr w:rsidR="00764A51" w14:paraId="77E74AAD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88F00A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6D6C79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neizpaušanu, un par minētās informācijas izmantošanu amata pienākumu veikšanai</w:t>
            </w:r>
          </w:p>
        </w:tc>
      </w:tr>
      <w:tr w:rsidR="00764A51" w14:paraId="1D916580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28BE30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534A4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764A51" w14:paraId="04B4611C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EFA4E2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955396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noteikumu, citu pašvaldības domes apstiprināto dokumentu un lēmumu izpildi un ievērošanu, kas attiecas uz  amata pienākumu pildīšanu</w:t>
            </w:r>
          </w:p>
        </w:tc>
      </w:tr>
      <w:tr w:rsidR="00764A51" w14:paraId="0EC7654C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FE2AD1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BD5DE2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764A51" w14:paraId="4E726D7C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5BEF2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FB1571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64A51" w14:paraId="565E76C9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F1B4C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6DFA5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 un darbiniekiem</w:t>
            </w:r>
          </w:p>
        </w:tc>
      </w:tr>
      <w:tr w:rsidR="00764A51" w14:paraId="732FF897" w14:textId="7777777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FFDF8E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tiesības:</w:t>
            </w:r>
          </w:p>
        </w:tc>
      </w:tr>
      <w:tr w:rsidR="00764A51" w14:paraId="4CC45F11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60A6EE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F0B109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764A51" w14:paraId="12B772BB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7FDCE1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496513" w14:textId="77777777" w:rsidR="00764A51" w:rsidRDefault="00946472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pieprasīt informāciju no </w:t>
            </w:r>
            <w:r w:rsidR="00E43D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iestādes vadītāja vietnieka saimnieciskajos jautājumos un darbiniekiem, kā arī pašvaldības institūcijām un to darbiniekiem amata pienākumu veikšanai </w:t>
            </w:r>
          </w:p>
        </w:tc>
      </w:tr>
      <w:tr w:rsidR="00764A51" w14:paraId="2AE746DE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B927D5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39DD30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tiešajam vai funkcionālajam vadītājam (atbilstoši kompetencei) ierosinājumus un priekšlikumus struktūrvienības darba kvalitātes un efektivitātes uzlabošanai, lai nodrošinātu iestādei noteikto funkciju un uzdevumu izpildi</w:t>
            </w:r>
          </w:p>
        </w:tc>
      </w:tr>
      <w:tr w:rsidR="00764A51" w14:paraId="62B244B1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6709E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6B1930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764A51" w14:paraId="0C8B016D" w14:textId="77777777">
        <w:tc>
          <w:tcPr>
            <w:tcW w:w="3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0216AF" w14:textId="77777777" w:rsidR="00764A51" w:rsidRDefault="00E4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14.5.</w:t>
            </w:r>
          </w:p>
        </w:tc>
        <w:tc>
          <w:tcPr>
            <w:tcW w:w="4635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2D365B" w14:textId="77777777" w:rsidR="00764A51" w:rsidRDefault="00E43DC3">
            <w:pPr>
              <w:spacing w:after="0" w:line="240" w:lineRule="auto"/>
              <w:ind w:left="115" w:right="119"/>
              <w:jc w:val="both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764A51" w14:paraId="7BFDD6A2" w14:textId="77777777"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C26732" w14:textId="77777777" w:rsidR="00764A51" w:rsidRDefault="00E43DC3">
            <w:pPr>
              <w:spacing w:after="0" w:line="240" w:lineRule="auto"/>
              <w:ind w:left="402" w:right="11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Cita informācija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764A51" w14:paraId="2F387229" w14:textId="77777777">
        <w:trPr>
          <w:trHeight w:val="1912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764A51" w14:paraId="5E976F15" w14:textId="77777777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ED27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67D9C503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7E7BF" w14:textId="77777777" w:rsidR="00764A51" w:rsidRDefault="00764A51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35325431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B26A" w14:textId="77777777" w:rsidR="00764A51" w:rsidRDefault="00764A51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08CD8BD1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7557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64A51" w14:paraId="342F3A77" w14:textId="77777777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68B8" w14:textId="77777777" w:rsidR="00764A51" w:rsidRDefault="00764A51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35F750DB" w14:textId="77777777" w:rsidR="00764A51" w:rsidRDefault="00E43DC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(paraksts)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5BEB1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67D18409" w14:textId="77777777" w:rsidR="00764A51" w:rsidRDefault="00E43DC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3314C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3A471D42" w14:textId="77777777" w:rsidR="00764A51" w:rsidRDefault="00E43DC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2F23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12E2BE86" w14:textId="77777777" w:rsidR="00764A51" w:rsidRDefault="00764A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1903"/>
              <w:gridCol w:w="260"/>
              <w:gridCol w:w="2387"/>
              <w:gridCol w:w="260"/>
              <w:gridCol w:w="2484"/>
              <w:gridCol w:w="1228"/>
            </w:tblGrid>
            <w:tr w:rsidR="00764A51" w14:paraId="3278DB9F" w14:textId="7777777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E59C" w14:textId="77777777" w:rsidR="00764A51" w:rsidRDefault="00E43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5"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537C5DB9" w14:textId="77777777" w:rsidR="00764A51" w:rsidRDefault="00E43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46A0E" w14:textId="77777777" w:rsidR="00764A51" w:rsidRDefault="00764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410591D9" w14:textId="77777777" w:rsidR="00764A51" w:rsidRDefault="00E43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907DA" w14:textId="77777777" w:rsidR="00764A51" w:rsidRDefault="00764A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</w:tcPr>
                <w:p w14:paraId="0E6EFDC1" w14:textId="77777777" w:rsidR="00764A51" w:rsidRDefault="00E43D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99A7F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64A51" w14:paraId="528F5C87" w14:textId="77777777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E224D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24C6BF03" w14:textId="77777777" w:rsidR="00764A51" w:rsidRDefault="00E43DC3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 xml:space="preserve">       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A429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0298C371" w14:textId="77777777" w:rsidR="00764A51" w:rsidRDefault="00E43DC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E73FC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14:paraId="29044B4A" w14:textId="77777777" w:rsidR="00764A51" w:rsidRDefault="00E43DC3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(datums)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91DF7" w14:textId="77777777" w:rsidR="00764A51" w:rsidRDefault="00E43DC3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14:paraId="60DD920A" w14:textId="77777777" w:rsidR="00764A51" w:rsidRDefault="00764A5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3805148" w14:textId="77777777" w:rsidR="00764A51" w:rsidRDefault="00764A51"/>
    <w:sectPr w:rsidR="00764A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F65D" w14:textId="77777777" w:rsidR="0032396C" w:rsidRDefault="0032396C">
      <w:pPr>
        <w:spacing w:line="240" w:lineRule="auto"/>
      </w:pPr>
      <w:r>
        <w:separator/>
      </w:r>
    </w:p>
  </w:endnote>
  <w:endnote w:type="continuationSeparator" w:id="0">
    <w:p w14:paraId="734B511B" w14:textId="77777777" w:rsidR="0032396C" w:rsidRDefault="0032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755D" w14:textId="77777777" w:rsidR="0032396C" w:rsidRDefault="0032396C">
      <w:pPr>
        <w:spacing w:after="0"/>
      </w:pPr>
      <w:r>
        <w:separator/>
      </w:r>
    </w:p>
  </w:footnote>
  <w:footnote w:type="continuationSeparator" w:id="0">
    <w:p w14:paraId="64BAFE9B" w14:textId="77777777" w:rsidR="0032396C" w:rsidRDefault="003239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208F"/>
    <w:multiLevelType w:val="singleLevel"/>
    <w:tmpl w:val="386D208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31882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D400DD"/>
    <w:rsid w:val="0032396C"/>
    <w:rsid w:val="00764A51"/>
    <w:rsid w:val="00946472"/>
    <w:rsid w:val="00E43DC3"/>
    <w:rsid w:val="00F5416C"/>
    <w:rsid w:val="12D400DD"/>
    <w:rsid w:val="65820386"/>
    <w:rsid w:val="7A8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B9A09"/>
  <w15:docId w15:val="{E919178E-84B4-4DAD-A3D2-8F16156A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spacing w:after="160" w:line="259" w:lineRule="auto"/>
    </w:pPr>
    <w:rPr>
      <w:rFonts w:eastAsiaTheme="minorHAnsi"/>
      <w:sz w:val="22"/>
      <w:szCs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qFormat/>
    <w:rPr>
      <w:vertAlign w:val="superscript"/>
    </w:rPr>
  </w:style>
  <w:style w:type="paragraph" w:styleId="Vresteksts">
    <w:name w:val="footnote text"/>
    <w:basedOn w:val="Parasts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aukums">
    <w:name w:val="Title"/>
    <w:basedOn w:val="Parasts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rsid w:val="00946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946472"/>
    <w:rPr>
      <w:rFonts w:eastAsiaTheme="minorHAnsi"/>
      <w:sz w:val="22"/>
      <w:szCs w:val="22"/>
      <w:lang w:val="lv-LV"/>
    </w:rPr>
  </w:style>
  <w:style w:type="paragraph" w:styleId="Kjene">
    <w:name w:val="footer"/>
    <w:basedOn w:val="Parasts"/>
    <w:link w:val="KjeneRakstz"/>
    <w:rsid w:val="00946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946472"/>
    <w:rPr>
      <w:rFonts w:eastAsiaTheme="minorHAns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VNPS</dc:creator>
  <cp:lastModifiedBy>vnp vilani</cp:lastModifiedBy>
  <cp:revision>2</cp:revision>
  <cp:lastPrinted>2023-03-02T08:23:00Z</cp:lastPrinted>
  <dcterms:created xsi:type="dcterms:W3CDTF">2023-07-05T10:37:00Z</dcterms:created>
  <dcterms:modified xsi:type="dcterms:W3CDTF">2023-07-05T10:37:00Z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848F3D9351AC4C9FB701313473BFA036</vt:lpwstr>
  </property>
</Properties>
</file>