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55" w:type="dxa"/>
        <w:tblLayout w:type="fixed"/>
        <w:tblCellMar>
          <w:top w:w="55" w:type="dxa"/>
          <w:left w:w="55" w:type="dxa"/>
          <w:bottom w:w="55" w:type="dxa"/>
          <w:right w:w="55" w:type="dxa"/>
        </w:tblCellMar>
        <w:tblLook w:val="04A0" w:firstRow="1" w:lastRow="0" w:firstColumn="1" w:lastColumn="0" w:noHBand="0" w:noVBand="1"/>
      </w:tblPr>
      <w:tblGrid>
        <w:gridCol w:w="2693"/>
        <w:gridCol w:w="6847"/>
      </w:tblGrid>
      <w:tr w:rsidR="00F10586" w14:paraId="6167EA4C" w14:textId="77777777" w:rsidTr="00282251">
        <w:trPr>
          <w:trHeight w:hRule="exact" w:val="2330"/>
        </w:trPr>
        <w:tc>
          <w:tcPr>
            <w:tcW w:w="2693" w:type="dxa"/>
            <w:hideMark/>
          </w:tcPr>
          <w:p w14:paraId="04560EDE" w14:textId="77777777" w:rsidR="00F10586" w:rsidRDefault="00F10586" w:rsidP="00282251">
            <w:pPr>
              <w:pStyle w:val="TableContents"/>
              <w:jc w:val="center"/>
            </w:pPr>
            <w:r>
              <w:rPr>
                <w:noProof/>
              </w:rPr>
              <mc:AlternateContent>
                <mc:Choice Requires="wps">
                  <w:drawing>
                    <wp:anchor distT="0" distB="0" distL="114300" distR="114300" simplePos="0" relativeHeight="251659264" behindDoc="0" locked="0" layoutInCell="1" allowOverlap="1" wp14:anchorId="0CE31228" wp14:editId="7E3C2DB1">
                      <wp:simplePos x="0" y="0"/>
                      <wp:positionH relativeFrom="column">
                        <wp:posOffset>-41910</wp:posOffset>
                      </wp:positionH>
                      <wp:positionV relativeFrom="paragraph">
                        <wp:posOffset>1345564</wp:posOffset>
                      </wp:positionV>
                      <wp:extent cx="595058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DC4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mo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"/>
                  </w:pict>
                </mc:Fallback>
              </mc:AlternateContent>
            </w:r>
            <w:r>
              <w:rPr>
                <w:noProof/>
              </w:rPr>
              <w:drawing>
                <wp:anchor distT="0" distB="0" distL="0" distR="0" simplePos="0" relativeHeight="251660288" behindDoc="0" locked="0" layoutInCell="1" allowOverlap="1" wp14:anchorId="65B1E319" wp14:editId="74622366">
                  <wp:simplePos x="0" y="0"/>
                  <wp:positionH relativeFrom="column">
                    <wp:posOffset>279400</wp:posOffset>
                  </wp:positionH>
                  <wp:positionV relativeFrom="paragraph">
                    <wp:posOffset>-33020</wp:posOffset>
                  </wp:positionV>
                  <wp:extent cx="972820" cy="11379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63721" name="Attēls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tc>
        <w:tc>
          <w:tcPr>
            <w:tcW w:w="6847" w:type="dxa"/>
            <w:hideMark/>
          </w:tcPr>
          <w:p w14:paraId="74850E92" w14:textId="77777777" w:rsidR="00F10586" w:rsidRDefault="00F10586" w:rsidP="00282251">
            <w:pPr>
              <w:pStyle w:val="Galvene"/>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14:paraId="2F8CF286" w14:textId="77777777" w:rsidR="00F10586" w:rsidRDefault="00F10586" w:rsidP="00282251">
            <w:pPr>
              <w:pStyle w:val="Galvene"/>
              <w:shd w:val="clear" w:color="auto" w:fill="FFFFFF"/>
              <w:tabs>
                <w:tab w:val="left" w:pos="720"/>
              </w:tabs>
              <w:snapToGrid w:val="0"/>
              <w:spacing w:before="119" w:after="113"/>
              <w:jc w:val="center"/>
              <w:rPr>
                <w:rFonts w:ascii="Verdana" w:hAnsi="Verdana" w:cs="Times New Roman"/>
                <w:caps/>
                <w:sz w:val="20"/>
                <w:szCs w:val="20"/>
                <w:lang w:eastAsia="ar-SA"/>
              </w:rPr>
            </w:pPr>
            <w:r>
              <w:rPr>
                <w:rFonts w:ascii="Verdana" w:hAnsi="Verdana"/>
                <w:caps/>
                <w:sz w:val="20"/>
                <w:szCs w:val="20"/>
                <w:lang w:eastAsia="ar-SA"/>
              </w:rPr>
              <w:t>Reģ.Nr.90009112679</w:t>
            </w:r>
          </w:p>
          <w:p w14:paraId="4D40BF58" w14:textId="77777777" w:rsidR="00F10586" w:rsidRDefault="00F10586" w:rsidP="0028225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Atbrīvošanas aleja 95A,  Rēzekne,  LV – 4601,</w:t>
            </w:r>
          </w:p>
          <w:p w14:paraId="47F96371" w14:textId="77777777" w:rsidR="00F10586" w:rsidRDefault="00F10586" w:rsidP="0028225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  Fax. 646 25935,</w:t>
            </w:r>
          </w:p>
          <w:p w14:paraId="4568C309" w14:textId="77777777" w:rsidR="00F10586" w:rsidRDefault="00F10586" w:rsidP="00282251">
            <w:pPr>
              <w:pStyle w:val="Galvene"/>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8" w:history="1">
              <w:r w:rsidRPr="00802496">
                <w:rPr>
                  <w:rStyle w:val="Hipersaite"/>
                  <w:rFonts w:ascii="Verdana" w:hAnsi="Verdana"/>
                  <w:sz w:val="18"/>
                  <w:szCs w:val="18"/>
                </w:rPr>
                <w:t>info@rezeknesnovads.lv</w:t>
              </w:r>
            </w:hyperlink>
          </w:p>
          <w:p w14:paraId="5F0F1A11" w14:textId="77777777" w:rsidR="00F10586" w:rsidRDefault="00F10586" w:rsidP="00282251">
            <w:pPr>
              <w:pStyle w:val="Galvene"/>
              <w:shd w:val="clear" w:color="auto" w:fill="FFFFFF"/>
              <w:tabs>
                <w:tab w:val="left" w:pos="720"/>
              </w:tabs>
              <w:spacing w:before="120"/>
              <w:jc w:val="center"/>
            </w:pPr>
            <w:r>
              <w:rPr>
                <w:rFonts w:ascii="Verdana" w:hAnsi="Verdana"/>
                <w:sz w:val="18"/>
                <w:szCs w:val="18"/>
                <w:lang w:eastAsia="ar-SA"/>
              </w:rPr>
              <w:t xml:space="preserve">Informācija internetā: </w:t>
            </w:r>
            <w:hyperlink r:id="rId9" w:history="1">
              <w:r>
                <w:rPr>
                  <w:rStyle w:val="Hipersaite"/>
                  <w:rFonts w:ascii="Verdana" w:hAnsi="Verdana"/>
                  <w:sz w:val="18"/>
                  <w:szCs w:val="18"/>
                </w:rPr>
                <w:t>http://www.rezeknesnovads.lv</w:t>
              </w:r>
            </w:hyperlink>
          </w:p>
        </w:tc>
      </w:tr>
    </w:tbl>
    <w:p w14:paraId="6A944391" w14:textId="77777777" w:rsidR="00F10586" w:rsidRPr="00870CCF" w:rsidRDefault="00F10586" w:rsidP="00F10586">
      <w:pPr>
        <w:pStyle w:val="Nosaukums"/>
        <w:tabs>
          <w:tab w:val="left" w:pos="5415"/>
        </w:tabs>
        <w:spacing w:before="0" w:line="240" w:lineRule="auto"/>
        <w:jc w:val="right"/>
        <w:rPr>
          <w:b w:val="0"/>
          <w:bCs/>
          <w:sz w:val="20"/>
        </w:rPr>
      </w:pPr>
      <w:r w:rsidRPr="00870CCF">
        <w:rPr>
          <w:b w:val="0"/>
          <w:bCs/>
          <w:sz w:val="20"/>
        </w:rPr>
        <w:t>APSTIPRINĀTA</w:t>
      </w:r>
    </w:p>
    <w:p w14:paraId="54F10956" w14:textId="77777777" w:rsidR="00F10586" w:rsidRPr="00870CCF" w:rsidRDefault="00F10586" w:rsidP="00F10586">
      <w:pPr>
        <w:pStyle w:val="Nosaukums"/>
        <w:tabs>
          <w:tab w:val="left" w:pos="5472"/>
        </w:tabs>
        <w:spacing w:before="0" w:line="240" w:lineRule="auto"/>
        <w:jc w:val="right"/>
        <w:rPr>
          <w:b w:val="0"/>
          <w:bCs/>
          <w:sz w:val="20"/>
        </w:rPr>
      </w:pPr>
      <w:r w:rsidRPr="00870CCF">
        <w:rPr>
          <w:b w:val="0"/>
          <w:bCs/>
          <w:sz w:val="20"/>
        </w:rPr>
        <w:t xml:space="preserve">ar Rēzeknes novada </w:t>
      </w:r>
      <w:r>
        <w:rPr>
          <w:b w:val="0"/>
          <w:bCs/>
          <w:sz w:val="20"/>
        </w:rPr>
        <w:t>domes</w:t>
      </w:r>
      <w:r w:rsidRPr="00870CCF">
        <w:rPr>
          <w:b w:val="0"/>
          <w:bCs/>
          <w:sz w:val="20"/>
        </w:rPr>
        <w:t xml:space="preserve"> </w:t>
      </w:r>
      <w:r w:rsidRPr="00E57E28">
        <w:rPr>
          <w:b w:val="0"/>
          <w:bCs/>
          <w:sz w:val="20"/>
        </w:rPr>
        <w:t>07.09.</w:t>
      </w:r>
      <w:r w:rsidRPr="00870CCF">
        <w:rPr>
          <w:b w:val="0"/>
          <w:bCs/>
          <w:sz w:val="20"/>
        </w:rPr>
        <w:t>202</w:t>
      </w:r>
      <w:r>
        <w:rPr>
          <w:b w:val="0"/>
          <w:bCs/>
          <w:sz w:val="20"/>
        </w:rPr>
        <w:t>3</w:t>
      </w:r>
      <w:r w:rsidRPr="00870CCF">
        <w:rPr>
          <w:b w:val="0"/>
          <w:bCs/>
          <w:sz w:val="20"/>
        </w:rPr>
        <w:t>.</w:t>
      </w:r>
    </w:p>
    <w:p w14:paraId="3E000527" w14:textId="77777777" w:rsidR="00F10586" w:rsidRPr="00870CCF" w:rsidRDefault="00F10586" w:rsidP="00F10586">
      <w:pPr>
        <w:pStyle w:val="Nosaukums"/>
        <w:tabs>
          <w:tab w:val="left" w:pos="5472"/>
        </w:tabs>
        <w:spacing w:before="0" w:line="240" w:lineRule="auto"/>
        <w:ind w:hanging="720"/>
        <w:jc w:val="right"/>
        <w:rPr>
          <w:b w:val="0"/>
          <w:bCs/>
          <w:sz w:val="20"/>
        </w:rPr>
      </w:pPr>
      <w:r w:rsidRPr="00870CCF">
        <w:rPr>
          <w:b w:val="0"/>
          <w:bCs/>
          <w:sz w:val="20"/>
        </w:rPr>
        <w:t xml:space="preserve">lēmumu (protokols Nr., </w:t>
      </w:r>
      <w:r>
        <w:rPr>
          <w:b w:val="0"/>
          <w:bCs/>
          <w:sz w:val="20"/>
        </w:rPr>
        <w:t>.§</w:t>
      </w:r>
      <w:r w:rsidRPr="00870CCF">
        <w:rPr>
          <w:b w:val="0"/>
          <w:bCs/>
          <w:sz w:val="20"/>
        </w:rPr>
        <w:t>)</w:t>
      </w:r>
    </w:p>
    <w:p w14:paraId="21D28C00" w14:textId="77777777" w:rsidR="00F10586" w:rsidRDefault="00F10586" w:rsidP="00F10586">
      <w:pPr>
        <w:jc w:val="right"/>
        <w:rPr>
          <w:rFonts w:cs="Times New Roman"/>
          <w:i/>
          <w:szCs w:val="24"/>
        </w:rPr>
      </w:pPr>
    </w:p>
    <w:p w14:paraId="2551A5E2" w14:textId="77777777" w:rsidR="00F10586" w:rsidRDefault="00F10586" w:rsidP="00F10586">
      <w:pPr>
        <w:autoSpaceDE w:val="0"/>
        <w:autoSpaceDN w:val="0"/>
        <w:adjustRightInd w:val="0"/>
        <w:jc w:val="center"/>
        <w:rPr>
          <w:rFonts w:cs="Times New Roman"/>
          <w:b/>
          <w:bCs/>
          <w:szCs w:val="24"/>
        </w:rPr>
      </w:pPr>
      <w:r w:rsidRPr="00463C7A">
        <w:rPr>
          <w:rFonts w:eastAsia="Times New Roman" w:cs="Times New Roman"/>
          <w:b/>
          <w:szCs w:val="24"/>
          <w:lang w:eastAsia="lv-LV"/>
        </w:rPr>
        <w:t>K</w:t>
      </w:r>
      <w:r>
        <w:rPr>
          <w:rFonts w:eastAsia="Times New Roman" w:cs="Times New Roman"/>
          <w:b/>
          <w:szCs w:val="24"/>
          <w:lang w:eastAsia="lv-LV"/>
        </w:rPr>
        <w:t>ārtība</w:t>
      </w:r>
      <w:r w:rsidRPr="00463C7A">
        <w:rPr>
          <w:rFonts w:eastAsia="Times New Roman" w:cs="Times New Roman"/>
          <w:b/>
          <w:szCs w:val="24"/>
          <w:lang w:eastAsia="lv-LV"/>
        </w:rPr>
        <w:t xml:space="preserve">, kādā </w:t>
      </w:r>
      <w:r w:rsidRPr="00FC0C0A">
        <w:rPr>
          <w:rFonts w:eastAsia="Times New Roman" w:cs="Times New Roman"/>
          <w:b/>
          <w:szCs w:val="24"/>
          <w:lang w:eastAsia="lv-LV"/>
        </w:rPr>
        <w:t xml:space="preserve">tiek  noteiktas </w:t>
      </w:r>
      <w:r w:rsidRPr="00463C7A">
        <w:rPr>
          <w:rFonts w:eastAsia="Times New Roman" w:cs="Times New Roman"/>
          <w:b/>
          <w:szCs w:val="24"/>
          <w:lang w:eastAsia="lv-LV"/>
        </w:rPr>
        <w:t>Rēzeknes novada pašvaldība</w:t>
      </w:r>
      <w:r w:rsidRPr="00FC0C0A">
        <w:rPr>
          <w:rFonts w:eastAsia="Times New Roman" w:cs="Times New Roman"/>
          <w:b/>
          <w:szCs w:val="24"/>
          <w:lang w:eastAsia="lv-LV"/>
        </w:rPr>
        <w:t xml:space="preserve">s </w:t>
      </w:r>
      <w:r w:rsidRPr="00FC0C0A">
        <w:rPr>
          <w:rFonts w:cs="Times New Roman"/>
          <w:b/>
          <w:bCs/>
          <w:szCs w:val="24"/>
        </w:rPr>
        <w:t>izglītības iestāžu  vadītāju</w:t>
      </w:r>
      <w:r>
        <w:rPr>
          <w:rFonts w:cs="Times New Roman"/>
          <w:b/>
          <w:bCs/>
          <w:szCs w:val="24"/>
        </w:rPr>
        <w:t>, vadītāju vietnieku un metodiķu</w:t>
      </w:r>
      <w:r w:rsidRPr="00FC0C0A">
        <w:rPr>
          <w:rFonts w:cs="Times New Roman"/>
          <w:b/>
          <w:bCs/>
          <w:szCs w:val="24"/>
        </w:rPr>
        <w:t xml:space="preserve">  amata  vienības  un  algas  likmes</w:t>
      </w:r>
    </w:p>
    <w:p w14:paraId="6EF5C175" w14:textId="77777777" w:rsidR="00502057" w:rsidRDefault="00502057" w:rsidP="00F10586">
      <w:pPr>
        <w:autoSpaceDE w:val="0"/>
        <w:autoSpaceDN w:val="0"/>
        <w:adjustRightInd w:val="0"/>
        <w:jc w:val="center"/>
        <w:rPr>
          <w:rFonts w:cs="Times New Roman"/>
          <w:b/>
          <w:bCs/>
          <w:szCs w:val="24"/>
        </w:rPr>
      </w:pPr>
    </w:p>
    <w:p w14:paraId="62EBEF6E" w14:textId="77777777" w:rsidR="00502057" w:rsidRDefault="00502057" w:rsidP="00502057">
      <w:pPr>
        <w:pStyle w:val="Nosaukums"/>
        <w:spacing w:before="0"/>
        <w:jc w:val="left"/>
        <w:rPr>
          <w:b w:val="0"/>
          <w:bCs/>
          <w:sz w:val="24"/>
          <w:szCs w:val="56"/>
        </w:rPr>
      </w:pPr>
      <w:r>
        <w:rPr>
          <w:b w:val="0"/>
          <w:bCs/>
          <w:sz w:val="24"/>
          <w:szCs w:val="56"/>
        </w:rPr>
        <w:t>ar  grozījumiem :</w:t>
      </w:r>
    </w:p>
    <w:p w14:paraId="104D4A39" w14:textId="36E90703" w:rsidR="00502057" w:rsidRDefault="00502057" w:rsidP="00502057">
      <w:pPr>
        <w:pStyle w:val="Nosaukums"/>
        <w:numPr>
          <w:ilvl w:val="0"/>
          <w:numId w:val="2"/>
        </w:numPr>
        <w:spacing w:before="0"/>
        <w:jc w:val="left"/>
        <w:rPr>
          <w:b w:val="0"/>
          <w:bCs/>
          <w:sz w:val="20"/>
          <w:szCs w:val="56"/>
        </w:rPr>
      </w:pPr>
      <w:r>
        <w:rPr>
          <w:b w:val="0"/>
          <w:bCs/>
          <w:sz w:val="20"/>
          <w:szCs w:val="56"/>
        </w:rPr>
        <w:t xml:space="preserve">18.01.2024. (Rēzeknes novada domes lēmums, protokols </w:t>
      </w:r>
      <w:r w:rsidRPr="004907E9">
        <w:rPr>
          <w:b w:val="0"/>
          <w:bCs/>
          <w:sz w:val="20"/>
          <w:szCs w:val="56"/>
        </w:rPr>
        <w:t>Nr.2; §</w:t>
      </w:r>
      <w:r>
        <w:rPr>
          <w:b w:val="0"/>
          <w:bCs/>
          <w:sz w:val="20"/>
          <w:szCs w:val="56"/>
        </w:rPr>
        <w:t>6</w:t>
      </w:r>
      <w:r w:rsidRPr="004907E9">
        <w:rPr>
          <w:b w:val="0"/>
          <w:bCs/>
          <w:sz w:val="20"/>
          <w:szCs w:val="56"/>
        </w:rPr>
        <w:t xml:space="preserve">) (piemērojams </w:t>
      </w:r>
      <w:r>
        <w:rPr>
          <w:b w:val="0"/>
          <w:bCs/>
          <w:sz w:val="20"/>
          <w:szCs w:val="56"/>
        </w:rPr>
        <w:t>ar 01.01.2024.)</w:t>
      </w:r>
    </w:p>
    <w:p w14:paraId="08C75A9D" w14:textId="77777777" w:rsidR="00502057" w:rsidRDefault="00502057" w:rsidP="00F10586">
      <w:pPr>
        <w:autoSpaceDE w:val="0"/>
        <w:autoSpaceDN w:val="0"/>
        <w:adjustRightInd w:val="0"/>
        <w:jc w:val="center"/>
        <w:rPr>
          <w:rFonts w:cs="Times New Roman"/>
          <w:szCs w:val="24"/>
        </w:rPr>
      </w:pPr>
    </w:p>
    <w:p w14:paraId="48558653" w14:textId="77777777" w:rsidR="00F10586" w:rsidRPr="00112DC7" w:rsidRDefault="00F10586" w:rsidP="00F10586">
      <w:pPr>
        <w:jc w:val="right"/>
        <w:rPr>
          <w:rFonts w:cs="Times New Roman"/>
          <w:i/>
          <w:szCs w:val="24"/>
        </w:rPr>
      </w:pPr>
    </w:p>
    <w:p w14:paraId="140EF2F9" w14:textId="77777777" w:rsidR="00F10586" w:rsidRDefault="00F10586" w:rsidP="00F10586">
      <w:pPr>
        <w:jc w:val="right"/>
        <w:rPr>
          <w:rFonts w:cs="Times New Roman"/>
          <w:i/>
          <w:sz w:val="20"/>
          <w:szCs w:val="20"/>
        </w:rPr>
      </w:pPr>
      <w:r w:rsidRPr="00112DC7">
        <w:rPr>
          <w:rFonts w:cs="Times New Roman"/>
          <w:i/>
          <w:sz w:val="20"/>
          <w:szCs w:val="20"/>
        </w:rPr>
        <w:t xml:space="preserve">Izdota  saskaņā  ar  </w:t>
      </w:r>
      <w:r w:rsidRPr="008B5152">
        <w:rPr>
          <w:rFonts w:cs="Times New Roman"/>
          <w:i/>
          <w:sz w:val="20"/>
          <w:szCs w:val="20"/>
        </w:rPr>
        <w:t xml:space="preserve">Ministru  kabineta 2016.gada </w:t>
      </w:r>
      <w:r>
        <w:rPr>
          <w:rFonts w:cs="Times New Roman"/>
          <w:i/>
          <w:sz w:val="20"/>
          <w:szCs w:val="20"/>
        </w:rPr>
        <w:t>5.jūlija</w:t>
      </w:r>
    </w:p>
    <w:p w14:paraId="1C8C059D" w14:textId="77777777" w:rsidR="00F10586" w:rsidRDefault="00F10586" w:rsidP="00F10586">
      <w:pPr>
        <w:jc w:val="right"/>
        <w:rPr>
          <w:rFonts w:cs="Times New Roman"/>
          <w:i/>
          <w:sz w:val="20"/>
          <w:szCs w:val="20"/>
        </w:rPr>
      </w:pPr>
      <w:r w:rsidRPr="008B5152">
        <w:rPr>
          <w:rFonts w:cs="Times New Roman"/>
          <w:i/>
          <w:sz w:val="20"/>
          <w:szCs w:val="20"/>
        </w:rPr>
        <w:t>noteikumu Nr.</w:t>
      </w:r>
      <w:r>
        <w:rPr>
          <w:rFonts w:cs="Times New Roman"/>
          <w:i/>
          <w:sz w:val="20"/>
          <w:szCs w:val="20"/>
        </w:rPr>
        <w:t>445</w:t>
      </w:r>
      <w:r w:rsidRPr="008B5152">
        <w:rPr>
          <w:rFonts w:cs="Times New Roman"/>
          <w:i/>
          <w:sz w:val="20"/>
          <w:szCs w:val="20"/>
        </w:rPr>
        <w:t xml:space="preserve"> „Pedagogu darba samaksas noteikumi” </w:t>
      </w:r>
    </w:p>
    <w:p w14:paraId="42C012A1" w14:textId="77777777" w:rsidR="00F10586" w:rsidRPr="00112DC7" w:rsidRDefault="00F10586" w:rsidP="00F10586">
      <w:pPr>
        <w:jc w:val="right"/>
        <w:rPr>
          <w:rFonts w:cs="Times New Roman"/>
          <w:i/>
          <w:sz w:val="20"/>
          <w:szCs w:val="20"/>
        </w:rPr>
      </w:pPr>
      <w:r>
        <w:rPr>
          <w:rFonts w:cs="Times New Roman"/>
          <w:i/>
          <w:sz w:val="20"/>
          <w:szCs w:val="20"/>
        </w:rPr>
        <w:t>6. un 9</w:t>
      </w:r>
      <w:r w:rsidRPr="008B5152">
        <w:rPr>
          <w:rFonts w:cs="Times New Roman"/>
          <w:i/>
          <w:sz w:val="20"/>
          <w:szCs w:val="20"/>
        </w:rPr>
        <w:t>.punk</w:t>
      </w:r>
      <w:r>
        <w:rPr>
          <w:rFonts w:cs="Times New Roman"/>
          <w:i/>
          <w:sz w:val="20"/>
          <w:szCs w:val="20"/>
        </w:rPr>
        <w:t>tiem</w:t>
      </w:r>
      <w:r w:rsidRPr="008B5152">
        <w:rPr>
          <w:rFonts w:cs="Times New Roman"/>
          <w:i/>
          <w:sz w:val="20"/>
          <w:szCs w:val="20"/>
        </w:rPr>
        <w:t>,</w:t>
      </w:r>
      <w:r>
        <w:rPr>
          <w:rFonts w:cs="Times New Roman"/>
          <w:szCs w:val="24"/>
        </w:rPr>
        <w:t xml:space="preserve"> </w:t>
      </w:r>
      <w:r w:rsidRPr="00112DC7">
        <w:rPr>
          <w:rFonts w:cs="Times New Roman"/>
          <w:i/>
          <w:sz w:val="20"/>
          <w:szCs w:val="20"/>
        </w:rPr>
        <w:t xml:space="preserve"> </w:t>
      </w:r>
      <w:r>
        <w:rPr>
          <w:rFonts w:cs="Times New Roman"/>
          <w:i/>
          <w:sz w:val="20"/>
          <w:szCs w:val="20"/>
        </w:rPr>
        <w:t xml:space="preserve">Pašvaldību likuma </w:t>
      </w:r>
      <w:r w:rsidRPr="009E5942">
        <w:rPr>
          <w:rFonts w:cs="Times New Roman"/>
          <w:i/>
          <w:sz w:val="20"/>
          <w:szCs w:val="20"/>
        </w:rPr>
        <w:t>50.panta  pirmo daļu</w:t>
      </w:r>
    </w:p>
    <w:p w14:paraId="5D9785F9" w14:textId="77777777" w:rsidR="00F10586" w:rsidRPr="00112DC7" w:rsidRDefault="00F10586" w:rsidP="00F10586">
      <w:pPr>
        <w:jc w:val="right"/>
        <w:rPr>
          <w:rFonts w:cs="Times New Roman"/>
          <w:i/>
          <w:szCs w:val="24"/>
        </w:rPr>
      </w:pPr>
    </w:p>
    <w:p w14:paraId="18FB9958" w14:textId="77777777" w:rsidR="00F10586" w:rsidRPr="00112DC7" w:rsidRDefault="00F10586" w:rsidP="00F10586">
      <w:pPr>
        <w:jc w:val="center"/>
        <w:rPr>
          <w:rFonts w:cs="Times New Roman"/>
          <w:b/>
          <w:szCs w:val="24"/>
        </w:rPr>
      </w:pPr>
      <w:r w:rsidRPr="00112DC7">
        <w:rPr>
          <w:rFonts w:cs="Times New Roman"/>
          <w:b/>
          <w:szCs w:val="24"/>
        </w:rPr>
        <w:t>I. Vispārīgie  jautājumi</w:t>
      </w:r>
    </w:p>
    <w:p w14:paraId="0736906D" w14:textId="77777777" w:rsidR="00F10586" w:rsidRPr="00E57E28"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 xml:space="preserve">Kārtība nosaka kādā  veidā  tiek  noteiktas  </w:t>
      </w:r>
      <w:r w:rsidRPr="00E57E28">
        <w:rPr>
          <w:rFonts w:ascii="Times New Roman" w:eastAsia="Times New Roman" w:hAnsi="Times New Roman" w:cs="Times New Roman"/>
          <w:sz w:val="24"/>
          <w:szCs w:val="24"/>
          <w:lang w:eastAsia="lv-LV"/>
        </w:rPr>
        <w:t xml:space="preserve">Rēzeknes novada pašvaldības </w:t>
      </w:r>
      <w:r w:rsidRPr="00E57E28">
        <w:rPr>
          <w:rFonts w:ascii="Times New Roman" w:hAnsi="Times New Roman" w:cs="Times New Roman"/>
          <w:bCs/>
          <w:sz w:val="24"/>
          <w:szCs w:val="24"/>
        </w:rPr>
        <w:t>izglītības iestāžu  vadītāju, vadītāju vietnieku un/vai struktūrvienības vadītāju un   izglītības metodiķu amata  vienības  un  algas  likmes.</w:t>
      </w:r>
    </w:p>
    <w:p w14:paraId="534F55B3"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 xml:space="preserve">Kārtība  attiecas  uz visām Rēzeknes novada pašvaldības izglītības </w:t>
      </w:r>
      <w:r w:rsidRPr="00C06C22">
        <w:rPr>
          <w:rFonts w:ascii="Times New Roman" w:hAnsi="Times New Roman" w:cs="Times New Roman"/>
          <w:sz w:val="24"/>
          <w:szCs w:val="24"/>
        </w:rPr>
        <w:t xml:space="preserve">iestādēm. </w:t>
      </w:r>
    </w:p>
    <w:p w14:paraId="2597A565" w14:textId="77777777" w:rsidR="00F10586" w:rsidRPr="00C06C22" w:rsidRDefault="00F10586" w:rsidP="00F10586">
      <w:pPr>
        <w:jc w:val="center"/>
        <w:rPr>
          <w:rFonts w:cs="Times New Roman"/>
          <w:b/>
          <w:szCs w:val="24"/>
        </w:rPr>
      </w:pPr>
    </w:p>
    <w:p w14:paraId="45B0E6B6" w14:textId="77777777" w:rsidR="00F10586" w:rsidRPr="00C06C22" w:rsidRDefault="00F10586" w:rsidP="00F10586">
      <w:pPr>
        <w:jc w:val="center"/>
        <w:rPr>
          <w:rFonts w:cs="Times New Roman"/>
          <w:b/>
          <w:szCs w:val="24"/>
        </w:rPr>
      </w:pPr>
      <w:r w:rsidRPr="00C06C22">
        <w:rPr>
          <w:rFonts w:cs="Times New Roman"/>
          <w:b/>
          <w:szCs w:val="24"/>
        </w:rPr>
        <w:t>II. Mērķi  un  uzdevumi</w:t>
      </w:r>
    </w:p>
    <w:p w14:paraId="2E8FB7D9"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 xml:space="preserve">Noteikt vienotas  prasības </w:t>
      </w:r>
      <w:r w:rsidRPr="00C06C22">
        <w:rPr>
          <w:rFonts w:ascii="Times New Roman" w:eastAsia="Times New Roman" w:hAnsi="Times New Roman" w:cs="Times New Roman"/>
          <w:sz w:val="24"/>
          <w:szCs w:val="24"/>
          <w:lang w:eastAsia="lv-LV"/>
        </w:rPr>
        <w:t xml:space="preserve">Rēzeknes novada pašvaldības </w:t>
      </w:r>
      <w:r w:rsidRPr="00C06C22">
        <w:rPr>
          <w:rFonts w:ascii="Times New Roman" w:hAnsi="Times New Roman" w:cs="Times New Roman"/>
          <w:bCs/>
          <w:sz w:val="24"/>
          <w:szCs w:val="24"/>
        </w:rPr>
        <w:t>izglītības iestāžu  vadītāju, vadītāju vietnieku/struktūrvienību vadītāju un metodiķu  amata  vienību  un  algas  likmju  noteikšanā.</w:t>
      </w:r>
    </w:p>
    <w:p w14:paraId="5A8CD09A"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bCs/>
          <w:sz w:val="24"/>
          <w:szCs w:val="24"/>
        </w:rPr>
        <w:t xml:space="preserve">Nosakot  amata  vienības, ņemt  vērā </w:t>
      </w:r>
      <w:r w:rsidRPr="00C06C22">
        <w:rPr>
          <w:rFonts w:ascii="Times New Roman" w:hAnsi="Times New Roman" w:cs="Times New Roman"/>
          <w:sz w:val="24"/>
          <w:szCs w:val="24"/>
        </w:rPr>
        <w:t xml:space="preserve">izglītības iestādes administrācijas  algas  fondu,  </w:t>
      </w:r>
      <w:r w:rsidRPr="00C06C22">
        <w:rPr>
          <w:rFonts w:ascii="Times New Roman" w:hAnsi="Times New Roman" w:cs="Times New Roman"/>
          <w:bCs/>
          <w:sz w:val="24"/>
          <w:szCs w:val="24"/>
        </w:rPr>
        <w:t>izglītojamo  skaitu  izglītības  iestādē, vadītājiem arī darba intensitāti un personīgo ieguldījumu izglītības iestādes attīstībā.</w:t>
      </w:r>
    </w:p>
    <w:p w14:paraId="672B9CCD" w14:textId="77777777" w:rsidR="00F10586" w:rsidRPr="00C06C22" w:rsidRDefault="00F10586" w:rsidP="00F10586">
      <w:pPr>
        <w:jc w:val="both"/>
        <w:rPr>
          <w:rFonts w:cs="Times New Roman"/>
          <w:szCs w:val="24"/>
        </w:rPr>
      </w:pPr>
    </w:p>
    <w:p w14:paraId="0F2B6427" w14:textId="77777777" w:rsidR="00F10586" w:rsidRPr="00C06C22" w:rsidRDefault="00F10586" w:rsidP="00F10586">
      <w:pPr>
        <w:jc w:val="center"/>
        <w:rPr>
          <w:rFonts w:cs="Times New Roman"/>
          <w:szCs w:val="24"/>
        </w:rPr>
      </w:pPr>
      <w:r w:rsidRPr="00C06C22">
        <w:rPr>
          <w:rFonts w:cs="Times New Roman"/>
          <w:b/>
          <w:szCs w:val="24"/>
        </w:rPr>
        <w:t>III. Izglītības iestāžu  vadītāju, vadītāju vietnieku un metodiķu  amatu  vienību noteikšana</w:t>
      </w:r>
    </w:p>
    <w:p w14:paraId="0EADF36E"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Katrā izglītības iestādē vadītājam tiek tarificēta viena vadītāja likme, citi izglītības iestādes sarežģītības faktori tiek ņemti vērā, nosakot algas likmi.</w:t>
      </w:r>
    </w:p>
    <w:p w14:paraId="42606C79"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Pamatskolās un vidusskolās vadītāju vietnieku izglītības jomā un/vai struktūrvienības vadītāju ieteicamais amata vienību likmju skaits ir šāds:</w:t>
      </w:r>
    </w:p>
    <w:tbl>
      <w:tblPr>
        <w:tblStyle w:val="Reatabula"/>
        <w:tblW w:w="8088" w:type="dxa"/>
        <w:tblInd w:w="432" w:type="dxa"/>
        <w:tblLook w:val="04A0" w:firstRow="1" w:lastRow="0" w:firstColumn="1" w:lastColumn="0" w:noHBand="0" w:noVBand="1"/>
      </w:tblPr>
      <w:tblGrid>
        <w:gridCol w:w="2043"/>
        <w:gridCol w:w="2483"/>
        <w:gridCol w:w="3562"/>
      </w:tblGrid>
      <w:tr w:rsidR="00F10586" w:rsidRPr="00C06C22" w14:paraId="352C2C23" w14:textId="77777777" w:rsidTr="00282251">
        <w:tc>
          <w:tcPr>
            <w:tcW w:w="2043" w:type="dxa"/>
          </w:tcPr>
          <w:p w14:paraId="082E2990"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Izglītojamo skaits</w:t>
            </w:r>
          </w:p>
        </w:tc>
        <w:tc>
          <w:tcPr>
            <w:tcW w:w="2483" w:type="dxa"/>
          </w:tcPr>
          <w:p w14:paraId="6DFD375A"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 xml:space="preserve">Vietnieku un/vai struktūrvienību </w:t>
            </w:r>
            <w:r w:rsidRPr="00C06C22">
              <w:rPr>
                <w:rFonts w:eastAsia="Calibri" w:cs="Times New Roman"/>
                <w:szCs w:val="24"/>
              </w:rPr>
              <w:lastRenderedPageBreak/>
              <w:t>vadītāju likmju skaits, ja nav struktūrvienības</w:t>
            </w:r>
          </w:p>
        </w:tc>
        <w:tc>
          <w:tcPr>
            <w:tcW w:w="3562" w:type="dxa"/>
          </w:tcPr>
          <w:p w14:paraId="264160D2" w14:textId="77777777" w:rsidR="00F10586" w:rsidRPr="00C06C22" w:rsidRDefault="00F10586" w:rsidP="00282251">
            <w:pPr>
              <w:ind w:right="-2"/>
              <w:jc w:val="both"/>
              <w:rPr>
                <w:rFonts w:eastAsia="Calibri" w:cs="Times New Roman"/>
                <w:szCs w:val="24"/>
              </w:rPr>
            </w:pPr>
            <w:r w:rsidRPr="00C06C22">
              <w:rPr>
                <w:rFonts w:eastAsia="Calibri" w:cs="Times New Roman"/>
                <w:szCs w:val="24"/>
              </w:rPr>
              <w:lastRenderedPageBreak/>
              <w:t xml:space="preserve">Vietnieku un/vai struktūrvienību vadītāju likmju skaits, ja ir </w:t>
            </w:r>
            <w:r w:rsidRPr="00C06C22">
              <w:rPr>
                <w:rFonts w:eastAsia="Calibri" w:cs="Times New Roman"/>
                <w:szCs w:val="24"/>
              </w:rPr>
              <w:lastRenderedPageBreak/>
              <w:t>struktūrvienība(pamatskola vai sākumskola)</w:t>
            </w:r>
          </w:p>
        </w:tc>
      </w:tr>
      <w:tr w:rsidR="00F10586" w:rsidRPr="00C06C22" w14:paraId="2BF414FE" w14:textId="77777777" w:rsidTr="00282251">
        <w:tc>
          <w:tcPr>
            <w:tcW w:w="2043" w:type="dxa"/>
          </w:tcPr>
          <w:p w14:paraId="7AA5F801" w14:textId="77777777" w:rsidR="00F10586" w:rsidRPr="00C06C22" w:rsidRDefault="00F10586" w:rsidP="00282251">
            <w:pPr>
              <w:ind w:right="-2"/>
              <w:jc w:val="both"/>
              <w:rPr>
                <w:rFonts w:eastAsia="Calibri" w:cs="Times New Roman"/>
                <w:szCs w:val="24"/>
              </w:rPr>
            </w:pPr>
            <w:r w:rsidRPr="00C06C22">
              <w:rPr>
                <w:rFonts w:eastAsia="Calibri" w:cs="Times New Roman"/>
                <w:szCs w:val="24"/>
              </w:rPr>
              <w:lastRenderedPageBreak/>
              <w:t>31-60</w:t>
            </w:r>
          </w:p>
        </w:tc>
        <w:tc>
          <w:tcPr>
            <w:tcW w:w="2483" w:type="dxa"/>
          </w:tcPr>
          <w:p w14:paraId="4C282E88"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0,15</w:t>
            </w:r>
          </w:p>
        </w:tc>
        <w:tc>
          <w:tcPr>
            <w:tcW w:w="3562" w:type="dxa"/>
          </w:tcPr>
          <w:p w14:paraId="3C8DEE19"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w:t>
            </w:r>
          </w:p>
        </w:tc>
      </w:tr>
      <w:tr w:rsidR="00F10586" w:rsidRPr="00C06C22" w14:paraId="40F99642" w14:textId="77777777" w:rsidTr="00282251">
        <w:tc>
          <w:tcPr>
            <w:tcW w:w="2043" w:type="dxa"/>
          </w:tcPr>
          <w:p w14:paraId="4DD61AEE"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61-90</w:t>
            </w:r>
          </w:p>
        </w:tc>
        <w:tc>
          <w:tcPr>
            <w:tcW w:w="2483" w:type="dxa"/>
          </w:tcPr>
          <w:p w14:paraId="29D40151"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0,25</w:t>
            </w:r>
          </w:p>
        </w:tc>
        <w:tc>
          <w:tcPr>
            <w:tcW w:w="3562" w:type="dxa"/>
          </w:tcPr>
          <w:p w14:paraId="454346A2"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w:t>
            </w:r>
          </w:p>
        </w:tc>
      </w:tr>
      <w:tr w:rsidR="00F10586" w:rsidRPr="00C06C22" w14:paraId="788FFC78" w14:textId="77777777" w:rsidTr="00282251">
        <w:tc>
          <w:tcPr>
            <w:tcW w:w="2043" w:type="dxa"/>
          </w:tcPr>
          <w:p w14:paraId="420640E9"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91-100</w:t>
            </w:r>
          </w:p>
        </w:tc>
        <w:tc>
          <w:tcPr>
            <w:tcW w:w="2483" w:type="dxa"/>
          </w:tcPr>
          <w:p w14:paraId="04F509CF"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0,5</w:t>
            </w:r>
          </w:p>
        </w:tc>
        <w:tc>
          <w:tcPr>
            <w:tcW w:w="3562" w:type="dxa"/>
          </w:tcPr>
          <w:p w14:paraId="4785F189"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0,8</w:t>
            </w:r>
          </w:p>
        </w:tc>
      </w:tr>
      <w:tr w:rsidR="00F10586" w:rsidRPr="00C06C22" w14:paraId="70D8ED36" w14:textId="77777777" w:rsidTr="00282251">
        <w:tc>
          <w:tcPr>
            <w:tcW w:w="2043" w:type="dxa"/>
          </w:tcPr>
          <w:p w14:paraId="46D5706B"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101-120</w:t>
            </w:r>
          </w:p>
        </w:tc>
        <w:tc>
          <w:tcPr>
            <w:tcW w:w="2483" w:type="dxa"/>
          </w:tcPr>
          <w:p w14:paraId="05469736"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0,75</w:t>
            </w:r>
          </w:p>
        </w:tc>
        <w:tc>
          <w:tcPr>
            <w:tcW w:w="3562" w:type="dxa"/>
          </w:tcPr>
          <w:p w14:paraId="00239A09"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1,05</w:t>
            </w:r>
          </w:p>
        </w:tc>
      </w:tr>
      <w:tr w:rsidR="00F10586" w:rsidRPr="00C06C22" w14:paraId="5525B04B" w14:textId="77777777" w:rsidTr="00282251">
        <w:tc>
          <w:tcPr>
            <w:tcW w:w="2043" w:type="dxa"/>
          </w:tcPr>
          <w:p w14:paraId="4D111552"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121-175</w:t>
            </w:r>
          </w:p>
        </w:tc>
        <w:tc>
          <w:tcPr>
            <w:tcW w:w="2483" w:type="dxa"/>
          </w:tcPr>
          <w:p w14:paraId="236BD7D0"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w:t>
            </w:r>
          </w:p>
        </w:tc>
        <w:tc>
          <w:tcPr>
            <w:tcW w:w="3562" w:type="dxa"/>
          </w:tcPr>
          <w:p w14:paraId="7B43050D"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1,3</w:t>
            </w:r>
          </w:p>
        </w:tc>
      </w:tr>
      <w:tr w:rsidR="00F10586" w:rsidRPr="00C06C22" w14:paraId="3CCD83B6" w14:textId="77777777" w:rsidTr="00282251">
        <w:tc>
          <w:tcPr>
            <w:tcW w:w="2043" w:type="dxa"/>
          </w:tcPr>
          <w:p w14:paraId="21E90EBB"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176-221</w:t>
            </w:r>
          </w:p>
        </w:tc>
        <w:tc>
          <w:tcPr>
            <w:tcW w:w="2483" w:type="dxa"/>
          </w:tcPr>
          <w:p w14:paraId="04E6DB7A"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1,4</w:t>
            </w:r>
          </w:p>
        </w:tc>
        <w:tc>
          <w:tcPr>
            <w:tcW w:w="3562" w:type="dxa"/>
          </w:tcPr>
          <w:p w14:paraId="277E8BFF"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1,7</w:t>
            </w:r>
          </w:p>
        </w:tc>
      </w:tr>
      <w:tr w:rsidR="00F10586" w:rsidRPr="00C06C22" w14:paraId="047C725F" w14:textId="77777777" w:rsidTr="00282251">
        <w:tc>
          <w:tcPr>
            <w:tcW w:w="2043" w:type="dxa"/>
          </w:tcPr>
          <w:p w14:paraId="3342C14C"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222-271</w:t>
            </w:r>
          </w:p>
        </w:tc>
        <w:tc>
          <w:tcPr>
            <w:tcW w:w="2483" w:type="dxa"/>
          </w:tcPr>
          <w:p w14:paraId="22FE54D5"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1,8</w:t>
            </w:r>
          </w:p>
        </w:tc>
        <w:tc>
          <w:tcPr>
            <w:tcW w:w="3562" w:type="dxa"/>
          </w:tcPr>
          <w:p w14:paraId="12092927"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2,1</w:t>
            </w:r>
          </w:p>
        </w:tc>
      </w:tr>
      <w:tr w:rsidR="00F10586" w:rsidRPr="00C06C22" w14:paraId="52D201E4" w14:textId="77777777" w:rsidTr="00282251">
        <w:tc>
          <w:tcPr>
            <w:tcW w:w="2043" w:type="dxa"/>
          </w:tcPr>
          <w:p w14:paraId="353C58A4"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272-321</w:t>
            </w:r>
          </w:p>
        </w:tc>
        <w:tc>
          <w:tcPr>
            <w:tcW w:w="2483" w:type="dxa"/>
          </w:tcPr>
          <w:p w14:paraId="672152E8"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2,2</w:t>
            </w:r>
          </w:p>
        </w:tc>
        <w:tc>
          <w:tcPr>
            <w:tcW w:w="3562" w:type="dxa"/>
          </w:tcPr>
          <w:p w14:paraId="04768B7E"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2,5</w:t>
            </w:r>
          </w:p>
        </w:tc>
      </w:tr>
      <w:tr w:rsidR="00F10586" w:rsidRPr="00C06C22" w14:paraId="140E798C" w14:textId="77777777" w:rsidTr="00282251">
        <w:tc>
          <w:tcPr>
            <w:tcW w:w="2043" w:type="dxa"/>
          </w:tcPr>
          <w:p w14:paraId="5D9F6C9B"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322-371</w:t>
            </w:r>
          </w:p>
        </w:tc>
        <w:tc>
          <w:tcPr>
            <w:tcW w:w="2483" w:type="dxa"/>
          </w:tcPr>
          <w:p w14:paraId="48165BE9"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2,6</w:t>
            </w:r>
          </w:p>
        </w:tc>
        <w:tc>
          <w:tcPr>
            <w:tcW w:w="3562" w:type="dxa"/>
          </w:tcPr>
          <w:p w14:paraId="1CD0DF2D"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2,9</w:t>
            </w:r>
          </w:p>
        </w:tc>
      </w:tr>
      <w:tr w:rsidR="00F10586" w:rsidRPr="00C06C22" w14:paraId="3E979435" w14:textId="77777777" w:rsidTr="00282251">
        <w:tc>
          <w:tcPr>
            <w:tcW w:w="2043" w:type="dxa"/>
          </w:tcPr>
          <w:p w14:paraId="0A59AC2E"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372-421</w:t>
            </w:r>
          </w:p>
        </w:tc>
        <w:tc>
          <w:tcPr>
            <w:tcW w:w="2483" w:type="dxa"/>
          </w:tcPr>
          <w:p w14:paraId="2D2F1CA8"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3</w:t>
            </w:r>
          </w:p>
        </w:tc>
        <w:tc>
          <w:tcPr>
            <w:tcW w:w="3562" w:type="dxa"/>
          </w:tcPr>
          <w:p w14:paraId="036B1880"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3,3</w:t>
            </w:r>
          </w:p>
        </w:tc>
      </w:tr>
      <w:tr w:rsidR="00F10586" w:rsidRPr="00E57E28" w14:paraId="66EBD276" w14:textId="77777777" w:rsidTr="00282251">
        <w:tc>
          <w:tcPr>
            <w:tcW w:w="2043" w:type="dxa"/>
          </w:tcPr>
          <w:p w14:paraId="581D8773"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422-471</w:t>
            </w:r>
          </w:p>
        </w:tc>
        <w:tc>
          <w:tcPr>
            <w:tcW w:w="2483" w:type="dxa"/>
          </w:tcPr>
          <w:p w14:paraId="7FE22A94"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3,4</w:t>
            </w:r>
          </w:p>
        </w:tc>
        <w:tc>
          <w:tcPr>
            <w:tcW w:w="3562" w:type="dxa"/>
          </w:tcPr>
          <w:p w14:paraId="22886DDF"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3,7</w:t>
            </w:r>
          </w:p>
        </w:tc>
      </w:tr>
      <w:tr w:rsidR="00F10586" w:rsidRPr="00E57E28" w14:paraId="35EA2375" w14:textId="77777777" w:rsidTr="00282251">
        <w:tc>
          <w:tcPr>
            <w:tcW w:w="2043" w:type="dxa"/>
          </w:tcPr>
          <w:p w14:paraId="7FF5D985"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472 un vairāk</w:t>
            </w:r>
          </w:p>
        </w:tc>
        <w:tc>
          <w:tcPr>
            <w:tcW w:w="2483" w:type="dxa"/>
          </w:tcPr>
          <w:p w14:paraId="15A6CFA9"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3,8</w:t>
            </w:r>
          </w:p>
        </w:tc>
        <w:tc>
          <w:tcPr>
            <w:tcW w:w="3562" w:type="dxa"/>
          </w:tcPr>
          <w:p w14:paraId="3B79421D"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4,1</w:t>
            </w:r>
          </w:p>
        </w:tc>
      </w:tr>
    </w:tbl>
    <w:p w14:paraId="725F1FEF" w14:textId="77777777" w:rsidR="00F10586" w:rsidRPr="00E57E28"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Izglītības iestādes vadītājs, nosakot savas izglītības iestādes vadītāja vietnieku un/vai struktūrvienības vadītāju likmju skaitu un algas likmi, drīkst palielināt vai samazināt šo amatu likmju skaitu atbilstoši 6.punkta tabulā noteiktajam piešķirtā savas iestādes vadībai finansējuma ietvaros.</w:t>
      </w:r>
    </w:p>
    <w:p w14:paraId="46590B43" w14:textId="77777777" w:rsidR="00F10586"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Speciālajā pamatskolā vadītāju vietnieku izglītības jomā likmju skaits tiek noteikts atbilstoši Ministru kabineta noteikumos noteiktajam, vietnieku darbu finansējot no valsts budžeta mērķdotācijas, kā arī papildus 0,5 likmes no pašvaldības budžeta.</w:t>
      </w:r>
    </w:p>
    <w:p w14:paraId="6111D17E" w14:textId="77777777" w:rsidR="00F10586" w:rsidRPr="00E57E28"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Izglītības metodiķu amata vienību skaits pirmsskolas izglītības iestādēs tiek noteikts  sekojoši:</w:t>
      </w:r>
    </w:p>
    <w:tbl>
      <w:tblPr>
        <w:tblStyle w:val="Reatabula"/>
        <w:tblW w:w="0" w:type="auto"/>
        <w:tblInd w:w="360" w:type="dxa"/>
        <w:tblLook w:val="04A0" w:firstRow="1" w:lastRow="0" w:firstColumn="1" w:lastColumn="0" w:noHBand="0" w:noVBand="1"/>
      </w:tblPr>
      <w:tblGrid>
        <w:gridCol w:w="2043"/>
        <w:gridCol w:w="2694"/>
      </w:tblGrid>
      <w:tr w:rsidR="00F10586" w:rsidRPr="00E57E28" w14:paraId="1192ABA6" w14:textId="77777777" w:rsidTr="00282251">
        <w:tc>
          <w:tcPr>
            <w:tcW w:w="2043" w:type="dxa"/>
          </w:tcPr>
          <w:p w14:paraId="039ECBE8"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Izglītojamo skaits</w:t>
            </w:r>
          </w:p>
        </w:tc>
        <w:tc>
          <w:tcPr>
            <w:tcW w:w="2694" w:type="dxa"/>
          </w:tcPr>
          <w:p w14:paraId="7E0143CB"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Izglītības metodiķu likmju skaits</w:t>
            </w:r>
          </w:p>
        </w:tc>
      </w:tr>
      <w:tr w:rsidR="00F10586" w:rsidRPr="00E57E28" w14:paraId="66EC7349" w14:textId="77777777" w:rsidTr="00282251">
        <w:tc>
          <w:tcPr>
            <w:tcW w:w="2043" w:type="dxa"/>
          </w:tcPr>
          <w:p w14:paraId="42CFBE2B"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31-60</w:t>
            </w:r>
          </w:p>
        </w:tc>
        <w:tc>
          <w:tcPr>
            <w:tcW w:w="2694" w:type="dxa"/>
          </w:tcPr>
          <w:p w14:paraId="36BF60AC" w14:textId="77777777" w:rsidR="00F10586" w:rsidRPr="00E57E28" w:rsidRDefault="00F10586" w:rsidP="00282251">
            <w:pPr>
              <w:ind w:right="-2"/>
              <w:jc w:val="both"/>
              <w:rPr>
                <w:rFonts w:eastAsia="Calibri" w:cs="Times New Roman"/>
                <w:szCs w:val="24"/>
              </w:rPr>
            </w:pPr>
            <w:r w:rsidRPr="00E57E28">
              <w:rPr>
                <w:rFonts w:eastAsia="Calibri" w:cs="Times New Roman"/>
                <w:szCs w:val="24"/>
              </w:rPr>
              <w:t>0,15</w:t>
            </w:r>
          </w:p>
        </w:tc>
      </w:tr>
      <w:tr w:rsidR="00F10586" w:rsidRPr="00E57E28" w14:paraId="079711F2" w14:textId="77777777" w:rsidTr="00282251">
        <w:tc>
          <w:tcPr>
            <w:tcW w:w="2043" w:type="dxa"/>
          </w:tcPr>
          <w:p w14:paraId="180F9854"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61-90</w:t>
            </w:r>
          </w:p>
        </w:tc>
        <w:tc>
          <w:tcPr>
            <w:tcW w:w="2694" w:type="dxa"/>
          </w:tcPr>
          <w:p w14:paraId="29539C11"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0,25</w:t>
            </w:r>
          </w:p>
        </w:tc>
      </w:tr>
      <w:tr w:rsidR="00F10586" w:rsidRPr="00E57E28" w14:paraId="0833657B" w14:textId="77777777" w:rsidTr="00282251">
        <w:tc>
          <w:tcPr>
            <w:tcW w:w="2043" w:type="dxa"/>
          </w:tcPr>
          <w:p w14:paraId="49981541"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91-100</w:t>
            </w:r>
          </w:p>
        </w:tc>
        <w:tc>
          <w:tcPr>
            <w:tcW w:w="2694" w:type="dxa"/>
          </w:tcPr>
          <w:p w14:paraId="6A743C1F"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0,5</w:t>
            </w:r>
          </w:p>
        </w:tc>
      </w:tr>
      <w:tr w:rsidR="00F10586" w:rsidRPr="00E57E28" w14:paraId="39364A7C" w14:textId="77777777" w:rsidTr="00282251">
        <w:tc>
          <w:tcPr>
            <w:tcW w:w="2043" w:type="dxa"/>
          </w:tcPr>
          <w:p w14:paraId="36C8C898"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101-120</w:t>
            </w:r>
          </w:p>
        </w:tc>
        <w:tc>
          <w:tcPr>
            <w:tcW w:w="2694" w:type="dxa"/>
          </w:tcPr>
          <w:p w14:paraId="4FC44FCD"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0,75</w:t>
            </w:r>
          </w:p>
        </w:tc>
      </w:tr>
      <w:tr w:rsidR="00F10586" w:rsidRPr="00E57E28" w14:paraId="1EE4B44E" w14:textId="77777777" w:rsidTr="00282251">
        <w:tc>
          <w:tcPr>
            <w:tcW w:w="2043" w:type="dxa"/>
          </w:tcPr>
          <w:p w14:paraId="72D436CF"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121 un vairāk</w:t>
            </w:r>
          </w:p>
        </w:tc>
        <w:tc>
          <w:tcPr>
            <w:tcW w:w="2694" w:type="dxa"/>
          </w:tcPr>
          <w:p w14:paraId="52479324" w14:textId="77777777" w:rsidR="00F10586" w:rsidRPr="00C06C22" w:rsidRDefault="00F10586" w:rsidP="00282251">
            <w:pPr>
              <w:ind w:right="-2"/>
              <w:jc w:val="both"/>
              <w:rPr>
                <w:rFonts w:eastAsia="Calibri" w:cs="Times New Roman"/>
                <w:szCs w:val="24"/>
              </w:rPr>
            </w:pPr>
            <w:r w:rsidRPr="00C06C22">
              <w:rPr>
                <w:rFonts w:eastAsia="Calibri" w:cs="Times New Roman"/>
                <w:szCs w:val="24"/>
              </w:rPr>
              <w:t>1</w:t>
            </w:r>
          </w:p>
        </w:tc>
      </w:tr>
    </w:tbl>
    <w:p w14:paraId="46E5E136" w14:textId="77777777" w:rsidR="00F10586" w:rsidRPr="00E57E28" w:rsidRDefault="00F10586" w:rsidP="00F10586">
      <w:pPr>
        <w:jc w:val="both"/>
        <w:rPr>
          <w:rFonts w:cs="Times New Roman"/>
          <w:szCs w:val="24"/>
        </w:rPr>
      </w:pPr>
    </w:p>
    <w:p w14:paraId="7BFDBC64" w14:textId="77777777" w:rsidR="00F10586" w:rsidRDefault="00F10586" w:rsidP="00F10586">
      <w:pPr>
        <w:pStyle w:val="Sarakstarindkopa"/>
        <w:numPr>
          <w:ilvl w:val="0"/>
          <w:numId w:val="1"/>
        </w:numPr>
        <w:jc w:val="both"/>
        <w:rPr>
          <w:rFonts w:ascii="Times New Roman" w:hAnsi="Times New Roman" w:cs="Times New Roman"/>
          <w:sz w:val="24"/>
          <w:szCs w:val="24"/>
        </w:rPr>
      </w:pPr>
      <w:r w:rsidRPr="00E57E28">
        <w:rPr>
          <w:rFonts w:ascii="Times New Roman" w:hAnsi="Times New Roman" w:cs="Times New Roman"/>
          <w:sz w:val="24"/>
          <w:szCs w:val="24"/>
        </w:rPr>
        <w:t>Profesionālās ievirzes izglītības iestādēs vadītāja vietnieku izglītības jomā amata vienību skaits tiek noteikts sekojoši:</w:t>
      </w:r>
    </w:p>
    <w:p w14:paraId="5031381F" w14:textId="77777777" w:rsidR="00F10586" w:rsidRPr="00E57E28" w:rsidRDefault="00F10586" w:rsidP="00F10586">
      <w:pPr>
        <w:pStyle w:val="Sarakstarindkopa"/>
        <w:numPr>
          <w:ilvl w:val="1"/>
          <w:numId w:val="1"/>
        </w:numPr>
        <w:jc w:val="both"/>
        <w:rPr>
          <w:rFonts w:ascii="Times New Roman" w:hAnsi="Times New Roman" w:cs="Times New Roman"/>
          <w:sz w:val="24"/>
          <w:szCs w:val="24"/>
        </w:rPr>
      </w:pPr>
      <w:r w:rsidRPr="00E57E28">
        <w:rPr>
          <w:rFonts w:ascii="Times New Roman" w:hAnsi="Times New Roman" w:cs="Times New Roman"/>
          <w:sz w:val="24"/>
          <w:szCs w:val="24"/>
        </w:rPr>
        <w:t>0,25 likmes, ja  izglītojamo  skaits  skolā  ir vismaz 55, bet   mazāks  nekā  91  izglītojamie;</w:t>
      </w:r>
    </w:p>
    <w:p w14:paraId="0B42D767" w14:textId="77777777" w:rsidR="00F10586" w:rsidRPr="00E57E28" w:rsidRDefault="00F10586" w:rsidP="00F10586">
      <w:pPr>
        <w:pStyle w:val="Sarakstarindkopa"/>
        <w:numPr>
          <w:ilvl w:val="1"/>
          <w:numId w:val="1"/>
        </w:numPr>
        <w:jc w:val="both"/>
        <w:rPr>
          <w:rFonts w:ascii="Times New Roman" w:hAnsi="Times New Roman" w:cs="Times New Roman"/>
          <w:sz w:val="24"/>
          <w:szCs w:val="24"/>
        </w:rPr>
      </w:pPr>
      <w:r w:rsidRPr="00E57E28">
        <w:rPr>
          <w:rFonts w:ascii="Times New Roman" w:hAnsi="Times New Roman" w:cs="Times New Roman"/>
          <w:sz w:val="24"/>
          <w:szCs w:val="24"/>
        </w:rPr>
        <w:t>0,5 likmes, ja  izglītojamo  skaits  skolā  ir vismaz 91, bet   mazāks  nekā  121  izglītojamie;</w:t>
      </w:r>
    </w:p>
    <w:p w14:paraId="1E4E519A" w14:textId="77777777" w:rsidR="00F10586" w:rsidRPr="00E57E28" w:rsidRDefault="00F10586" w:rsidP="00F10586">
      <w:pPr>
        <w:pStyle w:val="Sarakstarindkopa"/>
        <w:numPr>
          <w:ilvl w:val="1"/>
          <w:numId w:val="1"/>
        </w:numPr>
        <w:jc w:val="both"/>
        <w:rPr>
          <w:rFonts w:ascii="Times New Roman" w:hAnsi="Times New Roman" w:cs="Times New Roman"/>
          <w:sz w:val="24"/>
          <w:szCs w:val="24"/>
        </w:rPr>
      </w:pPr>
      <w:r w:rsidRPr="00E57E28">
        <w:rPr>
          <w:rFonts w:ascii="Times New Roman" w:hAnsi="Times New Roman" w:cs="Times New Roman"/>
          <w:sz w:val="24"/>
          <w:szCs w:val="24"/>
        </w:rPr>
        <w:t>0,75 likmes, ja  izglītojamo  skaits  skolā  ir vismaz 121, bet   mazāks  nekā  176 izglītojamie;</w:t>
      </w:r>
    </w:p>
    <w:p w14:paraId="3D9D49DA" w14:textId="77777777" w:rsidR="00F10586" w:rsidRDefault="00F10586" w:rsidP="00F10586">
      <w:pPr>
        <w:pStyle w:val="Sarakstarindkopa"/>
        <w:numPr>
          <w:ilvl w:val="1"/>
          <w:numId w:val="1"/>
        </w:numPr>
        <w:jc w:val="both"/>
        <w:rPr>
          <w:rFonts w:ascii="Times New Roman" w:hAnsi="Times New Roman" w:cs="Times New Roman"/>
          <w:sz w:val="24"/>
          <w:szCs w:val="24"/>
        </w:rPr>
      </w:pPr>
      <w:r w:rsidRPr="00E57E28">
        <w:rPr>
          <w:rFonts w:ascii="Times New Roman" w:hAnsi="Times New Roman" w:cs="Times New Roman"/>
          <w:sz w:val="24"/>
          <w:szCs w:val="24"/>
        </w:rPr>
        <w:t>1 likme, ja  izglītojamo skaits  skolā  ir vismaz 176.</w:t>
      </w:r>
    </w:p>
    <w:p w14:paraId="5626FFEB" w14:textId="77777777" w:rsidR="00F10586" w:rsidRDefault="00F10586" w:rsidP="00F10586">
      <w:pPr>
        <w:pStyle w:val="Sarakstarindkopa"/>
        <w:numPr>
          <w:ilvl w:val="0"/>
          <w:numId w:val="1"/>
        </w:numPr>
        <w:jc w:val="both"/>
        <w:rPr>
          <w:rFonts w:ascii="Times New Roman" w:hAnsi="Times New Roman" w:cs="Times New Roman"/>
          <w:sz w:val="24"/>
          <w:szCs w:val="24"/>
        </w:rPr>
      </w:pPr>
      <w:r w:rsidRPr="00536B8A">
        <w:rPr>
          <w:rFonts w:ascii="Times New Roman" w:hAnsi="Times New Roman" w:cs="Times New Roman"/>
          <w:sz w:val="24"/>
          <w:szCs w:val="24"/>
        </w:rPr>
        <w:t xml:space="preserve">Aprēķinot šīs kārtības </w:t>
      </w:r>
      <w:r>
        <w:rPr>
          <w:rFonts w:ascii="Times New Roman" w:hAnsi="Times New Roman" w:cs="Times New Roman"/>
          <w:sz w:val="24"/>
          <w:szCs w:val="24"/>
        </w:rPr>
        <w:t>6</w:t>
      </w:r>
      <w:r w:rsidRPr="00536B8A">
        <w:rPr>
          <w:rFonts w:ascii="Times New Roman" w:hAnsi="Times New Roman" w:cs="Times New Roman"/>
          <w:sz w:val="24"/>
          <w:szCs w:val="24"/>
        </w:rPr>
        <w:t>.</w:t>
      </w:r>
      <w:r>
        <w:rPr>
          <w:rFonts w:ascii="Times New Roman" w:hAnsi="Times New Roman" w:cs="Times New Roman"/>
          <w:sz w:val="24"/>
          <w:szCs w:val="24"/>
        </w:rPr>
        <w:t>, 8.</w:t>
      </w:r>
      <w:r w:rsidRPr="00536B8A">
        <w:rPr>
          <w:rFonts w:ascii="Times New Roman" w:hAnsi="Times New Roman" w:cs="Times New Roman"/>
          <w:sz w:val="24"/>
          <w:szCs w:val="24"/>
        </w:rPr>
        <w:t>-</w:t>
      </w:r>
      <w:r>
        <w:rPr>
          <w:rFonts w:ascii="Times New Roman" w:hAnsi="Times New Roman" w:cs="Times New Roman"/>
          <w:sz w:val="24"/>
          <w:szCs w:val="24"/>
        </w:rPr>
        <w:t>9</w:t>
      </w:r>
      <w:r w:rsidRPr="00536B8A">
        <w:rPr>
          <w:rFonts w:ascii="Times New Roman" w:hAnsi="Times New Roman" w:cs="Times New Roman"/>
          <w:sz w:val="24"/>
          <w:szCs w:val="24"/>
        </w:rPr>
        <w:t>.punktos  minēto amata vienību skaitu, izglītojamo  skaits  tiek noteikts  uz  katra  gada  1.</w:t>
      </w:r>
      <w:r w:rsidRPr="00C06C22">
        <w:rPr>
          <w:rFonts w:ascii="Times New Roman" w:hAnsi="Times New Roman" w:cs="Times New Roman"/>
          <w:sz w:val="24"/>
          <w:szCs w:val="24"/>
        </w:rPr>
        <w:t>septembri, savukārt šīs kārtības 10.punktā minēto amata vienību skaitu nosaka pēc izglītojamo skaita uz katra gada 1.oktobri un tas ir spēkā līdz sekojošā gada 30.septembrim.</w:t>
      </w:r>
    </w:p>
    <w:p w14:paraId="3134BE67" w14:textId="77777777" w:rsidR="00F10586" w:rsidRPr="00536B8A" w:rsidRDefault="00F10586" w:rsidP="00F10586">
      <w:pPr>
        <w:jc w:val="center"/>
        <w:rPr>
          <w:rFonts w:cs="Times New Roman"/>
          <w:szCs w:val="24"/>
        </w:rPr>
      </w:pPr>
      <w:r w:rsidRPr="00536B8A">
        <w:rPr>
          <w:rFonts w:cs="Times New Roman"/>
          <w:b/>
          <w:szCs w:val="24"/>
        </w:rPr>
        <w:t>IV. Izglītības iestāžu  vadītāju  algas  likmju noteikšana</w:t>
      </w:r>
    </w:p>
    <w:p w14:paraId="4F793BB3" w14:textId="77777777" w:rsidR="00F10586" w:rsidRPr="00536B8A" w:rsidRDefault="00F10586" w:rsidP="00F10586">
      <w:pPr>
        <w:pStyle w:val="Sarakstarindkopa"/>
        <w:numPr>
          <w:ilvl w:val="0"/>
          <w:numId w:val="1"/>
        </w:numPr>
        <w:jc w:val="both"/>
        <w:rPr>
          <w:rFonts w:ascii="Times New Roman" w:hAnsi="Times New Roman" w:cs="Times New Roman"/>
          <w:sz w:val="24"/>
          <w:szCs w:val="24"/>
        </w:rPr>
      </w:pPr>
      <w:r w:rsidRPr="00536B8A">
        <w:rPr>
          <w:rFonts w:ascii="Times New Roman" w:hAnsi="Times New Roman" w:cs="Times New Roman"/>
          <w:sz w:val="24"/>
          <w:szCs w:val="24"/>
        </w:rPr>
        <w:lastRenderedPageBreak/>
        <w:t>Izglītības  vadītāja algas  likme  tiek  noteikta:</w:t>
      </w:r>
    </w:p>
    <w:p w14:paraId="731286ED" w14:textId="3C28740B" w:rsidR="00502057" w:rsidRPr="00502057" w:rsidRDefault="00F10586" w:rsidP="00502057">
      <w:pPr>
        <w:pStyle w:val="Sarakstarindkopa"/>
        <w:numPr>
          <w:ilvl w:val="1"/>
          <w:numId w:val="1"/>
        </w:numPr>
        <w:jc w:val="both"/>
        <w:rPr>
          <w:rFonts w:ascii="Times New Roman" w:hAnsi="Times New Roman" w:cs="Times New Roman"/>
          <w:sz w:val="24"/>
          <w:szCs w:val="24"/>
        </w:rPr>
      </w:pPr>
      <w:r w:rsidRPr="00536B8A">
        <w:rPr>
          <w:rFonts w:ascii="Times New Roman" w:hAnsi="Times New Roman" w:cs="Times New Roman"/>
          <w:sz w:val="24"/>
          <w:szCs w:val="24"/>
        </w:rPr>
        <w:t xml:space="preserve"> pēc  izglītojamo  skaita  </w:t>
      </w:r>
      <w:r w:rsidR="00502057">
        <w:rPr>
          <w:rFonts w:ascii="Times New Roman" w:hAnsi="Times New Roman" w:cs="Times New Roman"/>
          <w:sz w:val="24"/>
          <w:szCs w:val="24"/>
        </w:rPr>
        <w:t>izglītības iestādē</w:t>
      </w:r>
      <w:r w:rsidRPr="00536B8A">
        <w:rPr>
          <w:rFonts w:ascii="Times New Roman" w:hAnsi="Times New Roman" w:cs="Times New Roman"/>
          <w:i/>
          <w:sz w:val="24"/>
          <w:szCs w:val="24"/>
        </w:rPr>
        <w:t>;</w:t>
      </w:r>
    </w:p>
    <w:p w14:paraId="757D7633" w14:textId="4136EC42" w:rsidR="00502057" w:rsidRPr="00502057" w:rsidRDefault="00502057" w:rsidP="00502057">
      <w:pPr>
        <w:ind w:left="360"/>
        <w:jc w:val="center"/>
        <w:rPr>
          <w:rFonts w:cs="Times New Roman"/>
          <w:szCs w:val="24"/>
        </w:rPr>
      </w:pPr>
      <w:r w:rsidRPr="00502057">
        <w:rPr>
          <w:i/>
          <w:iCs/>
        </w:rPr>
        <w:t>(Grozīts ar Rēzeknes novada domes  18.01.2024. lēmumu)</w:t>
      </w:r>
    </w:p>
    <w:p w14:paraId="4A0B8C3B" w14:textId="707982ED" w:rsidR="00F10586" w:rsidRDefault="00F10586" w:rsidP="00F10586">
      <w:pPr>
        <w:pStyle w:val="Sarakstarindkopa"/>
        <w:numPr>
          <w:ilvl w:val="1"/>
          <w:numId w:val="1"/>
        </w:numPr>
        <w:jc w:val="both"/>
        <w:rPr>
          <w:rFonts w:ascii="Times New Roman" w:hAnsi="Times New Roman" w:cs="Times New Roman"/>
          <w:sz w:val="24"/>
          <w:szCs w:val="24"/>
        </w:rPr>
      </w:pPr>
      <w:r w:rsidRPr="00536B8A">
        <w:rPr>
          <w:rFonts w:ascii="Times New Roman" w:hAnsi="Times New Roman" w:cs="Times New Roman"/>
          <w:sz w:val="24"/>
          <w:szCs w:val="24"/>
        </w:rPr>
        <w:t>minimālajai algas likmei</w:t>
      </w:r>
      <w:r w:rsidR="00502057">
        <w:rPr>
          <w:rFonts w:ascii="Times New Roman" w:hAnsi="Times New Roman" w:cs="Times New Roman"/>
          <w:sz w:val="24"/>
          <w:szCs w:val="24"/>
        </w:rPr>
        <w:t xml:space="preserve"> </w:t>
      </w:r>
      <w:r w:rsidRPr="00536B8A">
        <w:rPr>
          <w:rFonts w:ascii="Times New Roman" w:hAnsi="Times New Roman" w:cs="Times New Roman"/>
          <w:sz w:val="24"/>
          <w:szCs w:val="24"/>
        </w:rPr>
        <w:t>tiek pielietoti šādi darba intensitātes koeficienti(1.kritērijs):</w:t>
      </w:r>
    </w:p>
    <w:p w14:paraId="332FBAD3" w14:textId="1E9CD7E3" w:rsidR="00502057" w:rsidRPr="00502057" w:rsidRDefault="00502057" w:rsidP="00502057">
      <w:pPr>
        <w:jc w:val="center"/>
        <w:rPr>
          <w:rFonts w:cs="Times New Roman"/>
          <w:szCs w:val="24"/>
        </w:rPr>
      </w:pPr>
      <w:r w:rsidRPr="00502057">
        <w:rPr>
          <w:i/>
          <w:iCs/>
        </w:rPr>
        <w:t>(Grozīts ar Rēzeknes novada domes  18.01.2024. lēmumu)</w:t>
      </w:r>
    </w:p>
    <w:p w14:paraId="380F92F8" w14:textId="77777777" w:rsidR="00F10586" w:rsidRPr="00536B8A" w:rsidRDefault="00F10586" w:rsidP="00F10586">
      <w:pPr>
        <w:pStyle w:val="Sarakstarindkopa"/>
        <w:numPr>
          <w:ilvl w:val="2"/>
          <w:numId w:val="1"/>
        </w:numPr>
        <w:jc w:val="both"/>
        <w:rPr>
          <w:rFonts w:ascii="Times New Roman" w:hAnsi="Times New Roman" w:cs="Times New Roman"/>
          <w:sz w:val="24"/>
          <w:szCs w:val="24"/>
        </w:rPr>
      </w:pPr>
      <w:r w:rsidRPr="00536B8A">
        <w:rPr>
          <w:rFonts w:ascii="Times New Roman" w:hAnsi="Times New Roman" w:cs="Times New Roman"/>
          <w:sz w:val="24"/>
          <w:szCs w:val="24"/>
        </w:rPr>
        <w:t>ja izglītības iestādei ir struktūrvienība vai cita izglītības programmas realizācijas vieta citā apdzīvotā vietā – 1,1;</w:t>
      </w:r>
    </w:p>
    <w:p w14:paraId="4885FE46" w14:textId="19952EC3" w:rsidR="00F10586" w:rsidRDefault="00F10586" w:rsidP="00F10586">
      <w:pPr>
        <w:pStyle w:val="Sarakstarindkopa"/>
        <w:numPr>
          <w:ilvl w:val="2"/>
          <w:numId w:val="1"/>
        </w:numPr>
        <w:jc w:val="both"/>
        <w:rPr>
          <w:rFonts w:ascii="Times New Roman" w:hAnsi="Times New Roman" w:cs="Times New Roman"/>
          <w:sz w:val="24"/>
          <w:szCs w:val="24"/>
        </w:rPr>
      </w:pPr>
      <w:r w:rsidRPr="00536B8A">
        <w:rPr>
          <w:rFonts w:ascii="Times New Roman" w:hAnsi="Times New Roman" w:cs="Times New Roman"/>
          <w:sz w:val="24"/>
          <w:szCs w:val="24"/>
        </w:rPr>
        <w:t>ja izglītības iestādei ir vairāk nekā viena struktūrvienība un/vai vairāk nekā viena cita izglītības programmas realizācijas vieta citā apdzīvotā vietā – 1,</w:t>
      </w:r>
      <w:r w:rsidR="00502057">
        <w:rPr>
          <w:rFonts w:ascii="Times New Roman" w:hAnsi="Times New Roman" w:cs="Times New Roman"/>
          <w:sz w:val="24"/>
          <w:szCs w:val="24"/>
        </w:rPr>
        <w:t>15</w:t>
      </w:r>
      <w:r w:rsidRPr="00536B8A">
        <w:rPr>
          <w:rFonts w:ascii="Times New Roman" w:hAnsi="Times New Roman" w:cs="Times New Roman"/>
          <w:sz w:val="24"/>
          <w:szCs w:val="24"/>
        </w:rPr>
        <w:t>;</w:t>
      </w:r>
    </w:p>
    <w:p w14:paraId="303E927B" w14:textId="0B2E11F4" w:rsidR="00502057" w:rsidRPr="00502057" w:rsidRDefault="00502057" w:rsidP="00502057">
      <w:pPr>
        <w:jc w:val="center"/>
        <w:rPr>
          <w:rFonts w:cs="Times New Roman"/>
          <w:szCs w:val="24"/>
        </w:rPr>
      </w:pPr>
      <w:r w:rsidRPr="00502057">
        <w:rPr>
          <w:i/>
          <w:iCs/>
        </w:rPr>
        <w:t>(Grozīts ar Rēzeknes novada domes  18.01.2024. lēmumu)</w:t>
      </w:r>
    </w:p>
    <w:p w14:paraId="57789686" w14:textId="6E3F6329" w:rsidR="00F10586" w:rsidRDefault="00F10586" w:rsidP="00F10586">
      <w:pPr>
        <w:pStyle w:val="Sarakstarindkopa"/>
        <w:numPr>
          <w:ilvl w:val="2"/>
          <w:numId w:val="1"/>
        </w:numPr>
        <w:jc w:val="both"/>
        <w:rPr>
          <w:rFonts w:ascii="Times New Roman" w:hAnsi="Times New Roman" w:cs="Times New Roman"/>
          <w:sz w:val="24"/>
          <w:szCs w:val="24"/>
        </w:rPr>
      </w:pPr>
      <w:r w:rsidRPr="00536B8A">
        <w:rPr>
          <w:rFonts w:ascii="Times New Roman" w:hAnsi="Times New Roman" w:cs="Times New Roman"/>
          <w:sz w:val="24"/>
          <w:szCs w:val="24"/>
        </w:rPr>
        <w:t xml:space="preserve">ja pamatskolā vai vidusskolā darbojas pirmsskolas bērnu grupas, kurās ir </w:t>
      </w:r>
      <w:r w:rsidRPr="00C06C22">
        <w:rPr>
          <w:rFonts w:ascii="Times New Roman" w:hAnsi="Times New Roman" w:cs="Times New Roman"/>
          <w:sz w:val="24"/>
          <w:szCs w:val="24"/>
        </w:rPr>
        <w:t>arī līdz piecus gadus veci bērni</w:t>
      </w:r>
      <w:r w:rsidR="00502057">
        <w:rPr>
          <w:rFonts w:ascii="Times New Roman" w:hAnsi="Times New Roman" w:cs="Times New Roman"/>
          <w:sz w:val="24"/>
          <w:szCs w:val="24"/>
        </w:rPr>
        <w:t>, un, ja skolā tiek īstenota(</w:t>
      </w:r>
      <w:proofErr w:type="spellStart"/>
      <w:r w:rsidR="00502057">
        <w:rPr>
          <w:rFonts w:ascii="Times New Roman" w:hAnsi="Times New Roman" w:cs="Times New Roman"/>
          <w:sz w:val="24"/>
          <w:szCs w:val="24"/>
        </w:rPr>
        <w:t>as</w:t>
      </w:r>
      <w:proofErr w:type="spellEnd"/>
      <w:r w:rsidR="00502057">
        <w:rPr>
          <w:rFonts w:ascii="Times New Roman" w:hAnsi="Times New Roman" w:cs="Times New Roman"/>
          <w:sz w:val="24"/>
          <w:szCs w:val="24"/>
        </w:rPr>
        <w:t>)</w:t>
      </w:r>
      <w:r w:rsidRPr="00C06C22">
        <w:rPr>
          <w:rFonts w:ascii="Times New Roman" w:hAnsi="Times New Roman" w:cs="Times New Roman"/>
          <w:sz w:val="24"/>
          <w:szCs w:val="24"/>
        </w:rPr>
        <w:t xml:space="preserve"> </w:t>
      </w:r>
      <w:r w:rsidR="00502057">
        <w:rPr>
          <w:rFonts w:ascii="Times New Roman" w:hAnsi="Times New Roman" w:cs="Times New Roman"/>
          <w:sz w:val="24"/>
          <w:szCs w:val="24"/>
        </w:rPr>
        <w:t>vispārējā vidējās izglītības programma(</w:t>
      </w:r>
      <w:proofErr w:type="spellStart"/>
      <w:r w:rsidR="00502057">
        <w:rPr>
          <w:rFonts w:ascii="Times New Roman" w:hAnsi="Times New Roman" w:cs="Times New Roman"/>
          <w:sz w:val="24"/>
          <w:szCs w:val="24"/>
        </w:rPr>
        <w:t>as</w:t>
      </w:r>
      <w:proofErr w:type="spellEnd"/>
      <w:r w:rsidR="00502057">
        <w:rPr>
          <w:rFonts w:ascii="Times New Roman" w:hAnsi="Times New Roman" w:cs="Times New Roman"/>
          <w:sz w:val="24"/>
          <w:szCs w:val="24"/>
        </w:rPr>
        <w:t xml:space="preserve">) </w:t>
      </w:r>
      <w:r w:rsidRPr="00C06C22">
        <w:rPr>
          <w:rFonts w:ascii="Times New Roman" w:hAnsi="Times New Roman" w:cs="Times New Roman"/>
          <w:sz w:val="24"/>
          <w:szCs w:val="24"/>
        </w:rPr>
        <w:t>– 1,05;</w:t>
      </w:r>
    </w:p>
    <w:p w14:paraId="4138A3A5" w14:textId="49D5C3CB" w:rsidR="00502057" w:rsidRPr="00502057" w:rsidRDefault="00502057" w:rsidP="00502057">
      <w:pPr>
        <w:jc w:val="center"/>
        <w:rPr>
          <w:rFonts w:cs="Times New Roman"/>
          <w:szCs w:val="24"/>
        </w:rPr>
      </w:pPr>
      <w:r w:rsidRPr="00502057">
        <w:rPr>
          <w:i/>
          <w:iCs/>
        </w:rPr>
        <w:t>(Grozīts ar Rēzeknes novada domes  18.01.2024. lēmumu)</w:t>
      </w:r>
    </w:p>
    <w:p w14:paraId="48337D61" w14:textId="18A440E8" w:rsidR="00F10586" w:rsidRDefault="00F10586" w:rsidP="00F10586">
      <w:pPr>
        <w:pStyle w:val="Sarakstarindkopa"/>
        <w:numPr>
          <w:ilvl w:val="2"/>
          <w:numId w:val="1"/>
        </w:numPr>
        <w:jc w:val="both"/>
        <w:rPr>
          <w:rFonts w:ascii="Times New Roman" w:hAnsi="Times New Roman" w:cs="Times New Roman"/>
          <w:sz w:val="24"/>
          <w:szCs w:val="24"/>
        </w:rPr>
      </w:pPr>
      <w:r w:rsidRPr="00C06C22">
        <w:rPr>
          <w:rFonts w:ascii="Times New Roman" w:hAnsi="Times New Roman" w:cs="Times New Roman"/>
          <w:sz w:val="24"/>
          <w:szCs w:val="24"/>
        </w:rPr>
        <w:t>ja izglītības iestāde bez izglītojošās darbības papildus veic citu pašvaldības autonomo funkciju – 1,</w:t>
      </w:r>
      <w:r w:rsidR="00502057">
        <w:rPr>
          <w:rFonts w:ascii="Times New Roman" w:hAnsi="Times New Roman" w:cs="Times New Roman"/>
          <w:sz w:val="24"/>
          <w:szCs w:val="24"/>
        </w:rPr>
        <w:t>25</w:t>
      </w:r>
      <w:r w:rsidRPr="00C06C22">
        <w:rPr>
          <w:rFonts w:ascii="Times New Roman" w:hAnsi="Times New Roman" w:cs="Times New Roman"/>
          <w:sz w:val="24"/>
          <w:szCs w:val="24"/>
        </w:rPr>
        <w:t>;</w:t>
      </w:r>
    </w:p>
    <w:p w14:paraId="7F117769" w14:textId="53B2567E" w:rsidR="00502057" w:rsidRPr="00502057" w:rsidRDefault="00502057" w:rsidP="00502057">
      <w:pPr>
        <w:jc w:val="center"/>
        <w:rPr>
          <w:rFonts w:cs="Times New Roman"/>
          <w:szCs w:val="24"/>
        </w:rPr>
      </w:pPr>
      <w:r w:rsidRPr="00502057">
        <w:rPr>
          <w:i/>
          <w:iCs/>
        </w:rPr>
        <w:t>(Grozīts ar Rēzeknes novada domes  18.01.2024. lēmumu)</w:t>
      </w:r>
    </w:p>
    <w:p w14:paraId="7A5DBEE3" w14:textId="3070ACB9" w:rsidR="00F10586" w:rsidRDefault="00F10586" w:rsidP="00F10586">
      <w:pPr>
        <w:pStyle w:val="Sarakstarindkopa"/>
        <w:numPr>
          <w:ilvl w:val="2"/>
          <w:numId w:val="1"/>
        </w:numPr>
        <w:jc w:val="both"/>
        <w:rPr>
          <w:rFonts w:ascii="Times New Roman" w:hAnsi="Times New Roman" w:cs="Times New Roman"/>
          <w:sz w:val="24"/>
          <w:szCs w:val="24"/>
        </w:rPr>
      </w:pPr>
      <w:r w:rsidRPr="00536B8A">
        <w:rPr>
          <w:rFonts w:ascii="Times New Roman" w:hAnsi="Times New Roman" w:cs="Times New Roman"/>
          <w:sz w:val="24"/>
          <w:szCs w:val="24"/>
        </w:rPr>
        <w:t xml:space="preserve">ja izglītības iestādei pielietojami </w:t>
      </w:r>
      <w:r w:rsidR="00502057">
        <w:rPr>
          <w:rFonts w:ascii="Times New Roman" w:hAnsi="Times New Roman" w:cs="Times New Roman"/>
          <w:sz w:val="24"/>
          <w:szCs w:val="24"/>
        </w:rPr>
        <w:t xml:space="preserve">vairākos </w:t>
      </w:r>
      <w:r w:rsidRPr="00536B8A">
        <w:rPr>
          <w:rFonts w:ascii="Times New Roman" w:hAnsi="Times New Roman" w:cs="Times New Roman"/>
          <w:sz w:val="24"/>
          <w:szCs w:val="24"/>
        </w:rPr>
        <w:t xml:space="preserve">apakšpunktos noteiktie koeficienti, tad </w:t>
      </w:r>
      <w:r w:rsidR="00502057">
        <w:rPr>
          <w:rFonts w:ascii="Times New Roman" w:hAnsi="Times New Roman" w:cs="Times New Roman"/>
          <w:sz w:val="24"/>
          <w:szCs w:val="24"/>
        </w:rPr>
        <w:t>koeficienti tiek summēti</w:t>
      </w:r>
      <w:r w:rsidRPr="00536B8A">
        <w:rPr>
          <w:rFonts w:ascii="Times New Roman" w:hAnsi="Times New Roman" w:cs="Times New Roman"/>
          <w:sz w:val="24"/>
          <w:szCs w:val="24"/>
        </w:rPr>
        <w:t>;</w:t>
      </w:r>
    </w:p>
    <w:p w14:paraId="62820812" w14:textId="7E91D3C7" w:rsidR="00502057" w:rsidRPr="00502057" w:rsidRDefault="00502057" w:rsidP="00502057">
      <w:pPr>
        <w:jc w:val="center"/>
        <w:rPr>
          <w:rFonts w:cs="Times New Roman"/>
          <w:szCs w:val="24"/>
        </w:rPr>
      </w:pPr>
      <w:r w:rsidRPr="00502057">
        <w:rPr>
          <w:i/>
          <w:iCs/>
        </w:rPr>
        <w:t>(Grozīts ar Rēzeknes novada domes  18.01.2024. lēmumu)</w:t>
      </w:r>
    </w:p>
    <w:p w14:paraId="797103B2" w14:textId="77777777" w:rsidR="00F10586" w:rsidRDefault="00F10586" w:rsidP="00F10586">
      <w:pPr>
        <w:pStyle w:val="Sarakstarindkopa"/>
        <w:numPr>
          <w:ilvl w:val="2"/>
          <w:numId w:val="1"/>
        </w:numPr>
        <w:jc w:val="both"/>
        <w:rPr>
          <w:rFonts w:ascii="Times New Roman" w:hAnsi="Times New Roman" w:cs="Times New Roman"/>
          <w:sz w:val="24"/>
          <w:szCs w:val="24"/>
        </w:rPr>
      </w:pPr>
      <w:r w:rsidRPr="00536B8A">
        <w:rPr>
          <w:rFonts w:ascii="Times New Roman" w:hAnsi="Times New Roman" w:cs="Times New Roman"/>
          <w:sz w:val="24"/>
          <w:szCs w:val="24"/>
        </w:rPr>
        <w:t xml:space="preserve">pielietojot darba intensitātes </w:t>
      </w:r>
      <w:r w:rsidRPr="00C06C22">
        <w:rPr>
          <w:rFonts w:ascii="Times New Roman" w:hAnsi="Times New Roman" w:cs="Times New Roman"/>
          <w:sz w:val="24"/>
          <w:szCs w:val="24"/>
        </w:rPr>
        <w:t>koeficientu, algas likme tiek noapaļota līdz veselam skaitlim (EUR);</w:t>
      </w:r>
    </w:p>
    <w:p w14:paraId="7FA7BFF7" w14:textId="5F78BD1D" w:rsidR="00F10586" w:rsidRPr="00CD12EA" w:rsidRDefault="00CD12EA" w:rsidP="00CD12EA">
      <w:pPr>
        <w:pStyle w:val="Sarakstarindkopa"/>
        <w:numPr>
          <w:ilvl w:val="1"/>
          <w:numId w:val="1"/>
        </w:numPr>
        <w:jc w:val="both"/>
        <w:rPr>
          <w:rFonts w:ascii="Times New Roman" w:hAnsi="Times New Roman" w:cs="Times New Roman"/>
          <w:sz w:val="24"/>
          <w:szCs w:val="24"/>
        </w:rPr>
      </w:pPr>
      <w:r w:rsidRPr="00CD12EA">
        <w:rPr>
          <w:rFonts w:ascii="Times New Roman" w:hAnsi="Times New Roman" w:cs="Times New Roman"/>
          <w:i/>
          <w:iCs/>
          <w:sz w:val="24"/>
          <w:szCs w:val="24"/>
        </w:rPr>
        <w:t>(Izslēgts ar Rēzeknes novada domes  18.01.2024. lēmumu)</w:t>
      </w:r>
    </w:p>
    <w:p w14:paraId="617C741E"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Pēc šīs kārtības 12.punktā noteikto darbību izpildes tiek aprēķināta katras izglītības iestādes vadītāja algas likme, vadītāju algas likmes tiek apstiprinātas ar pašvaldības izpilddirektora rīkojumu.</w:t>
      </w:r>
    </w:p>
    <w:p w14:paraId="1A4121DE" w14:textId="40CF0A76" w:rsidR="00CD12EA" w:rsidRPr="00CD12EA" w:rsidRDefault="00F10586" w:rsidP="00CD12EA">
      <w:pPr>
        <w:pStyle w:val="Sarakstarindkopa"/>
        <w:numPr>
          <w:ilvl w:val="0"/>
          <w:numId w:val="1"/>
        </w:numPr>
        <w:ind w:left="-993" w:hanging="283"/>
        <w:jc w:val="center"/>
        <w:rPr>
          <w:rFonts w:ascii="Times New Roman" w:hAnsi="Times New Roman" w:cs="Times New Roman"/>
          <w:sz w:val="24"/>
          <w:szCs w:val="24"/>
        </w:rPr>
      </w:pPr>
      <w:r w:rsidRPr="00C06C22">
        <w:rPr>
          <w:rFonts w:ascii="Times New Roman" w:hAnsi="Times New Roman" w:cs="Times New Roman"/>
          <w:iCs/>
          <w:sz w:val="24"/>
          <w:szCs w:val="24"/>
        </w:rPr>
        <w:t xml:space="preserve"> </w:t>
      </w:r>
      <w:r w:rsidR="00CD12EA" w:rsidRPr="00CD12EA">
        <w:rPr>
          <w:rFonts w:ascii="Times New Roman" w:hAnsi="Times New Roman" w:cs="Times New Roman"/>
          <w:i/>
          <w:iCs/>
          <w:sz w:val="24"/>
          <w:szCs w:val="24"/>
        </w:rPr>
        <w:t>(Izslēgts ar Rēzeknes novada domes  18.01.2024. lēmumu)</w:t>
      </w:r>
    </w:p>
    <w:p w14:paraId="1394A1B6" w14:textId="461B7CA2" w:rsidR="00F10586" w:rsidRDefault="00F10586" w:rsidP="00CD12EA">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 xml:space="preserve">Vadītāju vietnieku un/vai struktūrvienību vadītāju, metodiķu algas likmes iestādes vadītājs nosaka atbilstoši  </w:t>
      </w:r>
      <w:r w:rsidRPr="00C06C22">
        <w:rPr>
          <w:rFonts w:ascii="Times New Roman" w:hAnsi="Times New Roman" w:cs="Times New Roman"/>
          <w:i/>
          <w:sz w:val="24"/>
          <w:szCs w:val="24"/>
        </w:rPr>
        <w:t>Pedagogu  darba  samaksas  noteikumiem</w:t>
      </w:r>
      <w:r w:rsidRPr="00C06C22">
        <w:rPr>
          <w:rFonts w:ascii="Times New Roman" w:hAnsi="Times New Roman" w:cs="Times New Roman"/>
          <w:iCs/>
          <w:sz w:val="24"/>
          <w:szCs w:val="24"/>
        </w:rPr>
        <w:t xml:space="preserve"> un iedalītajam  finansējumam. </w:t>
      </w:r>
    </w:p>
    <w:p w14:paraId="07998650" w14:textId="71B985E4" w:rsidR="00043AAC" w:rsidRPr="00043AAC" w:rsidRDefault="00043AAC" w:rsidP="00043AAC">
      <w:pPr>
        <w:jc w:val="center"/>
        <w:rPr>
          <w:rFonts w:cs="Times New Roman"/>
          <w:szCs w:val="24"/>
        </w:rPr>
      </w:pPr>
      <w:r w:rsidRPr="00043AAC">
        <w:rPr>
          <w:i/>
          <w:iCs/>
        </w:rPr>
        <w:t>(Grozīts ar Rēzeknes novada domes  18.01.2024. lēmumu)</w:t>
      </w:r>
    </w:p>
    <w:p w14:paraId="480C7D56"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 xml:space="preserve">Izglītojamo  skaits  tiek  aprēķināts  uz  katra  gada  1.septembri  un  vadītāju algas likme  atbilstoši  tam  tiek  noteikta  laika  periodam  no  katra  gada  1.septembra  līdz  sekojošā  gada 31.augustam, izmaiņas tiek pieļautas, ja stājas spēkā izmaiņas ārējos normatīvajos aktos un/vai izmaiņas apstiprinātajā budžetā. Profesionālās ievirzes izglītības iestāžu vadītāju algas likme tiek aprēķināta uz katra gada 1.oktobri laika periodam no katra  gada  1.oktobra  līdz  sekojošā  gada 30.septembrim, kārtējā gada laika posmā no 1.septembra līdz 30.septembrim tā ir </w:t>
      </w:r>
      <w:r w:rsidRPr="00C06C22">
        <w:rPr>
          <w:rFonts w:ascii="Times New Roman" w:hAnsi="Times New Roman" w:cs="Times New Roman"/>
          <w:sz w:val="24"/>
          <w:szCs w:val="24"/>
        </w:rPr>
        <w:lastRenderedPageBreak/>
        <w:t>atbilstoši šai kārtībai pēc izglītojamo skaita uz 1.septembri. Vadītājiem, kuri darbu uzsāk periodā starp 1.septembri un 31.augustu, algas likme tiek noteikta ar amata pienākumu izpildes uzsākšanas brīdi.</w:t>
      </w:r>
    </w:p>
    <w:p w14:paraId="22312B41" w14:textId="77777777" w:rsidR="00F10586" w:rsidRPr="00C06C22" w:rsidRDefault="00F10586" w:rsidP="00F10586">
      <w:pPr>
        <w:jc w:val="center"/>
        <w:rPr>
          <w:rFonts w:cs="Times New Roman"/>
          <w:b/>
          <w:szCs w:val="24"/>
        </w:rPr>
      </w:pPr>
      <w:r w:rsidRPr="00C06C22">
        <w:rPr>
          <w:rFonts w:cs="Times New Roman"/>
          <w:b/>
          <w:szCs w:val="24"/>
        </w:rPr>
        <w:t>V. Izglītības iestāžu  vadītāju  finansēšanas  avoti</w:t>
      </w:r>
    </w:p>
    <w:p w14:paraId="53551C60"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Pamatskolu, t.sk., speciālās skolas, vidusskolu  vadītāju, kā arī vietnieku un struktūrvienības vadītāju algas  finansē  no  valsts  budžeta  mērķdotācijas  attiecīgajai  izglītības  iestādei. No pašvaldības budžeta drīkst vadītājiem piešķirt prēmijas attiecīgajam gadam apstiprinātā finansējuma ietvaros.</w:t>
      </w:r>
    </w:p>
    <w:p w14:paraId="032E7ED2"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Pirmsskolas izglītības iestāžu vadītājiem un metodiķiem, profesionālās  ievirzes izglītības  iestāžu  vadītājiem un vadītāju vietniekiem algas  finansē  no  pašvaldības budžeta.</w:t>
      </w:r>
    </w:p>
    <w:p w14:paraId="29C40001" w14:textId="77777777" w:rsidR="00F10586" w:rsidRPr="00C06C22" w:rsidRDefault="00F10586" w:rsidP="00F10586">
      <w:pPr>
        <w:jc w:val="center"/>
        <w:rPr>
          <w:rFonts w:cs="Times New Roman"/>
          <w:szCs w:val="24"/>
        </w:rPr>
      </w:pPr>
      <w:r w:rsidRPr="00C06C22">
        <w:rPr>
          <w:rFonts w:cs="Times New Roman"/>
          <w:b/>
          <w:szCs w:val="24"/>
        </w:rPr>
        <w:t>VI. Noslēguma  jautājumi</w:t>
      </w:r>
    </w:p>
    <w:p w14:paraId="5F40E54E"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Kārtība piemērojama ar 2023.gada 1.septembri.</w:t>
      </w:r>
    </w:p>
    <w:p w14:paraId="57A9C1FE" w14:textId="77777777" w:rsidR="00F10586" w:rsidRPr="00C06C22"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2023.gada septembrī šīs kārtības 10.punktā minētais amata vienību skaits ir atbilstoši uz 2022.gada 1.septembri apstiprinātajai tarifikācijai.</w:t>
      </w:r>
    </w:p>
    <w:p w14:paraId="26841341" w14:textId="77777777" w:rsidR="00F10586" w:rsidRPr="009F194E" w:rsidRDefault="00F10586" w:rsidP="00F10586">
      <w:pPr>
        <w:pStyle w:val="Sarakstarindkopa"/>
        <w:numPr>
          <w:ilvl w:val="0"/>
          <w:numId w:val="1"/>
        </w:numPr>
        <w:jc w:val="both"/>
        <w:rPr>
          <w:rFonts w:ascii="Times New Roman" w:hAnsi="Times New Roman" w:cs="Times New Roman"/>
          <w:sz w:val="24"/>
          <w:szCs w:val="24"/>
        </w:rPr>
      </w:pPr>
      <w:r w:rsidRPr="00C06C22">
        <w:rPr>
          <w:rFonts w:ascii="Times New Roman" w:hAnsi="Times New Roman" w:cs="Times New Roman"/>
          <w:sz w:val="24"/>
          <w:szCs w:val="24"/>
        </w:rPr>
        <w:t>Atzīt par spēku zaudējušu 2022.gada  18.augusta  kārtību “</w:t>
      </w:r>
      <w:r w:rsidRPr="00C06C22">
        <w:rPr>
          <w:rFonts w:ascii="Times New Roman" w:eastAsia="Times New Roman" w:hAnsi="Times New Roman" w:cs="Times New Roman"/>
          <w:sz w:val="24"/>
          <w:szCs w:val="24"/>
          <w:lang w:eastAsia="lv-LV"/>
        </w:rPr>
        <w:t xml:space="preserve">Kārtība, kādā tiek  noteiktas Rēzeknes novada pašvaldības </w:t>
      </w:r>
      <w:r w:rsidRPr="00C06C22">
        <w:rPr>
          <w:rFonts w:ascii="Times New Roman" w:hAnsi="Times New Roman" w:cs="Times New Roman"/>
          <w:sz w:val="24"/>
          <w:szCs w:val="24"/>
        </w:rPr>
        <w:t xml:space="preserve">izglītības iestāžu  vadītāju, vadītāju vietnieku un metodiķu amata  vienības  un  algas  likmes” (apstiprināta ar Rēzeknes  novada domes  18.08.2022.  lēmumu  </w:t>
      </w:r>
      <w:r w:rsidRPr="009F194E">
        <w:rPr>
          <w:rFonts w:ascii="Times New Roman" w:hAnsi="Times New Roman" w:cs="Times New Roman"/>
          <w:sz w:val="24"/>
          <w:szCs w:val="24"/>
        </w:rPr>
        <w:t xml:space="preserve">(protokols Nr.22, 5.§). </w:t>
      </w:r>
    </w:p>
    <w:p w14:paraId="33E36042" w14:textId="77777777" w:rsidR="00F10586" w:rsidRPr="00E765A4" w:rsidRDefault="00F10586" w:rsidP="00F10586">
      <w:pPr>
        <w:autoSpaceDE w:val="0"/>
        <w:autoSpaceDN w:val="0"/>
        <w:adjustRightInd w:val="0"/>
        <w:ind w:left="284"/>
        <w:jc w:val="both"/>
        <w:rPr>
          <w:rFonts w:cs="Times New Roman"/>
          <w:szCs w:val="24"/>
        </w:rPr>
      </w:pPr>
    </w:p>
    <w:p w14:paraId="34F08DEF" w14:textId="77777777" w:rsidR="00F10586" w:rsidRPr="00E765A4" w:rsidRDefault="00F10586" w:rsidP="00F10586"/>
    <w:p w14:paraId="0B81C805" w14:textId="77777777" w:rsidR="00F10586" w:rsidRPr="00E765A4" w:rsidRDefault="00F10586" w:rsidP="00F10586">
      <w:r w:rsidRPr="00E765A4">
        <w:t xml:space="preserve">Domes priekšsēdētājs                                                                   </w:t>
      </w:r>
      <w:proofErr w:type="spellStart"/>
      <w:r w:rsidRPr="00E765A4">
        <w:t>M.Švarcs</w:t>
      </w:r>
      <w:proofErr w:type="spellEnd"/>
    </w:p>
    <w:p w14:paraId="01E6E58F" w14:textId="77777777" w:rsidR="00557BF3" w:rsidRDefault="00557BF3"/>
    <w:sectPr w:rsidR="00557BF3" w:rsidSect="00516E9E">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ED56" w14:textId="77777777" w:rsidR="00516E9E" w:rsidRDefault="00516E9E" w:rsidP="00485FCB">
      <w:r>
        <w:separator/>
      </w:r>
    </w:p>
  </w:endnote>
  <w:endnote w:type="continuationSeparator" w:id="0">
    <w:p w14:paraId="7B9D0332" w14:textId="77777777" w:rsidR="00516E9E" w:rsidRDefault="00516E9E" w:rsidP="0048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01701"/>
      <w:docPartObj>
        <w:docPartGallery w:val="Page Numbers (Bottom of Page)"/>
        <w:docPartUnique/>
      </w:docPartObj>
    </w:sdtPr>
    <w:sdtContent>
      <w:p w14:paraId="64BF86F9" w14:textId="0AB15D87" w:rsidR="00485FCB" w:rsidRDefault="00485FCB">
        <w:pPr>
          <w:pStyle w:val="Kjene"/>
          <w:jc w:val="right"/>
        </w:pPr>
        <w:r>
          <w:fldChar w:fldCharType="begin"/>
        </w:r>
        <w:r>
          <w:instrText>PAGE   \* MERGEFORMAT</w:instrText>
        </w:r>
        <w:r>
          <w:fldChar w:fldCharType="separate"/>
        </w:r>
        <w:r>
          <w:t>2</w:t>
        </w:r>
        <w:r>
          <w:fldChar w:fldCharType="end"/>
        </w:r>
      </w:p>
    </w:sdtContent>
  </w:sdt>
  <w:p w14:paraId="4D897632" w14:textId="77777777" w:rsidR="00485FCB" w:rsidRDefault="00485F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2690" w14:textId="77777777" w:rsidR="00516E9E" w:rsidRDefault="00516E9E" w:rsidP="00485FCB">
      <w:r>
        <w:separator/>
      </w:r>
    </w:p>
  </w:footnote>
  <w:footnote w:type="continuationSeparator" w:id="0">
    <w:p w14:paraId="63726D90" w14:textId="77777777" w:rsidR="00516E9E" w:rsidRDefault="00516E9E" w:rsidP="0048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923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774600302">
    <w:abstractNumId w:val="0"/>
  </w:num>
  <w:num w:numId="2" w16cid:durableId="238559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86"/>
    <w:rsid w:val="00043AAC"/>
    <w:rsid w:val="00485FCB"/>
    <w:rsid w:val="00502057"/>
    <w:rsid w:val="00516E9E"/>
    <w:rsid w:val="00557BF3"/>
    <w:rsid w:val="00CD12EA"/>
    <w:rsid w:val="00F10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6F32"/>
  <w15:chartTrackingRefBased/>
  <w15:docId w15:val="{8D046120-6792-4CA9-8A5A-AD083D0B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0586"/>
    <w:pPr>
      <w:spacing w:after="0" w:line="240" w:lineRule="auto"/>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0586"/>
    <w:pPr>
      <w:spacing w:after="200" w:line="276" w:lineRule="auto"/>
      <w:ind w:left="720"/>
      <w:contextualSpacing/>
    </w:pPr>
    <w:rPr>
      <w:rFonts w:asciiTheme="minorHAnsi" w:hAnsiTheme="minorHAnsi"/>
      <w:sz w:val="22"/>
    </w:rPr>
  </w:style>
  <w:style w:type="paragraph" w:styleId="Nosaukums">
    <w:name w:val="Title"/>
    <w:basedOn w:val="Parasts"/>
    <w:link w:val="NosaukumsRakstz"/>
    <w:qFormat/>
    <w:rsid w:val="00F10586"/>
    <w:pPr>
      <w:overflowPunct w:val="0"/>
      <w:autoSpaceDE w:val="0"/>
      <w:autoSpaceDN w:val="0"/>
      <w:adjustRightInd w:val="0"/>
      <w:spacing w:before="120" w:line="360" w:lineRule="auto"/>
      <w:jc w:val="center"/>
    </w:pPr>
    <w:rPr>
      <w:rFonts w:eastAsia="Times New Roman" w:cs="Times New Roman"/>
      <w:b/>
      <w:sz w:val="22"/>
      <w:szCs w:val="20"/>
    </w:rPr>
  </w:style>
  <w:style w:type="character" w:customStyle="1" w:styleId="NosaukumsRakstz">
    <w:name w:val="Nosaukums Rakstz."/>
    <w:basedOn w:val="Noklusjumarindkopasfonts"/>
    <w:link w:val="Nosaukums"/>
    <w:rsid w:val="00F10586"/>
    <w:rPr>
      <w:rFonts w:ascii="Times New Roman" w:eastAsia="Times New Roman" w:hAnsi="Times New Roman" w:cs="Times New Roman"/>
      <w:b/>
      <w:kern w:val="0"/>
      <w:szCs w:val="20"/>
      <w14:ligatures w14:val="none"/>
    </w:rPr>
  </w:style>
  <w:style w:type="paragraph" w:styleId="Galvene">
    <w:name w:val="header"/>
    <w:aliases w:val="Rakstz. Rakstz."/>
    <w:basedOn w:val="Parasts"/>
    <w:link w:val="GalveneRakstz"/>
    <w:uiPriority w:val="99"/>
    <w:unhideWhenUsed/>
    <w:rsid w:val="00F10586"/>
    <w:pPr>
      <w:tabs>
        <w:tab w:val="center" w:pos="4153"/>
        <w:tab w:val="right" w:pos="8306"/>
      </w:tabs>
    </w:pPr>
  </w:style>
  <w:style w:type="character" w:customStyle="1" w:styleId="GalveneRakstz">
    <w:name w:val="Galvene Rakstz."/>
    <w:aliases w:val="Rakstz. Rakstz. Rakstz."/>
    <w:basedOn w:val="Noklusjumarindkopasfonts"/>
    <w:link w:val="Galvene"/>
    <w:uiPriority w:val="99"/>
    <w:rsid w:val="00F10586"/>
    <w:rPr>
      <w:rFonts w:ascii="Times New Roman" w:hAnsi="Times New Roman"/>
      <w:kern w:val="0"/>
      <w:sz w:val="24"/>
      <w14:ligatures w14:val="none"/>
    </w:rPr>
  </w:style>
  <w:style w:type="character" w:styleId="Hipersaite">
    <w:name w:val="Hyperlink"/>
    <w:unhideWhenUsed/>
    <w:rsid w:val="00F10586"/>
    <w:rPr>
      <w:rFonts w:ascii="Times New Roman" w:hAnsi="Times New Roman" w:cs="Times New Roman" w:hint="default"/>
      <w:color w:val="0000FF"/>
      <w:u w:val="single"/>
    </w:rPr>
  </w:style>
  <w:style w:type="paragraph" w:customStyle="1" w:styleId="TableContents">
    <w:name w:val="Table Contents"/>
    <w:basedOn w:val="Parasts"/>
    <w:rsid w:val="00F10586"/>
    <w:rPr>
      <w:rFonts w:eastAsia="Times New Roman" w:cs="Times New Roman"/>
      <w:color w:val="000000"/>
      <w:szCs w:val="24"/>
      <w:lang w:eastAsia="lv-LV"/>
    </w:rPr>
  </w:style>
  <w:style w:type="table" w:styleId="Reatabula">
    <w:name w:val="Table Grid"/>
    <w:basedOn w:val="Parastatabula"/>
    <w:uiPriority w:val="39"/>
    <w:rsid w:val="00F105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85FCB"/>
    <w:pPr>
      <w:tabs>
        <w:tab w:val="center" w:pos="4153"/>
        <w:tab w:val="right" w:pos="8306"/>
      </w:tabs>
    </w:pPr>
  </w:style>
  <w:style w:type="character" w:customStyle="1" w:styleId="KjeneRakstz">
    <w:name w:val="Kājene Rakstz."/>
    <w:basedOn w:val="Noklusjumarindkopasfonts"/>
    <w:link w:val="Kjene"/>
    <w:uiPriority w:val="99"/>
    <w:rsid w:val="00485FCB"/>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4938</Words>
  <Characters>2816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4</cp:revision>
  <dcterms:created xsi:type="dcterms:W3CDTF">2024-01-22T07:24:00Z</dcterms:created>
  <dcterms:modified xsi:type="dcterms:W3CDTF">2024-01-22T07:36:00Z</dcterms:modified>
</cp:coreProperties>
</file>