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64" w:type="dxa"/>
        <w:tblInd w:w="521" w:type="dxa"/>
        <w:tblLayout w:type="fixed"/>
        <w:tblCellMar>
          <w:top w:w="55" w:type="dxa"/>
          <w:left w:w="55" w:type="dxa"/>
          <w:bottom w:w="55" w:type="dxa"/>
          <w:right w:w="55" w:type="dxa"/>
        </w:tblCellMar>
        <w:tblLook w:val="0000" w:firstRow="0" w:lastRow="0" w:firstColumn="0" w:lastColumn="0" w:noHBand="0" w:noVBand="0"/>
      </w:tblPr>
      <w:tblGrid>
        <w:gridCol w:w="2401"/>
        <w:gridCol w:w="6763"/>
      </w:tblGrid>
      <w:tr w:rsidR="007E44AD" w14:paraId="5D624F8A" w14:textId="77777777" w:rsidTr="00050D10">
        <w:trPr>
          <w:trHeight w:hRule="exact" w:val="2326"/>
        </w:trPr>
        <w:tc>
          <w:tcPr>
            <w:tcW w:w="2401" w:type="dxa"/>
          </w:tcPr>
          <w:p w14:paraId="46E092FD" w14:textId="30D5BF9F" w:rsidR="00431B7E" w:rsidRPr="00431B7E" w:rsidRDefault="00DF67A3" w:rsidP="00431B7E">
            <w:pPr>
              <w:widowControl w:val="0"/>
              <w:suppressLineNumbers/>
              <w:suppressAutoHyphens/>
              <w:snapToGrid w:val="0"/>
              <w:jc w:val="center"/>
              <w:rPr>
                <w:rFonts w:ascii="Verdana" w:hAnsi="Verdana" w:cs="Arial"/>
                <w:b/>
                <w:caps/>
                <w:sz w:val="36"/>
                <w:szCs w:val="36"/>
                <w:lang w:eastAsia="ar-SA"/>
              </w:rPr>
            </w:pPr>
            <w:r w:rsidRPr="00431B7E">
              <w:rPr>
                <w:rFonts w:eastAsia="Lucida Sans Unicode"/>
                <w:noProof/>
              </w:rPr>
              <w:drawing>
                <wp:anchor distT="0" distB="0" distL="0" distR="0" simplePos="0" relativeHeight="251660288" behindDoc="0" locked="0" layoutInCell="1" allowOverlap="1" wp14:anchorId="5627508D" wp14:editId="0CFB3827">
                  <wp:simplePos x="0" y="0"/>
                  <wp:positionH relativeFrom="column">
                    <wp:posOffset>-2540</wp:posOffset>
                  </wp:positionH>
                  <wp:positionV relativeFrom="paragraph">
                    <wp:posOffset>0</wp:posOffset>
                  </wp:positionV>
                  <wp:extent cx="973455" cy="1138555"/>
                  <wp:effectExtent l="0" t="0" r="0" b="444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264392"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73455" cy="11385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6763" w:type="dxa"/>
          </w:tcPr>
          <w:p w14:paraId="3073C030" w14:textId="4FB360B8" w:rsidR="00431B7E" w:rsidRPr="00431B7E" w:rsidRDefault="00DF67A3" w:rsidP="00431B7E">
            <w:pPr>
              <w:widowControl w:val="0"/>
              <w:shd w:val="clear" w:color="auto" w:fill="FFFFFF"/>
              <w:suppressAutoHyphens/>
              <w:snapToGrid w:val="0"/>
              <w:ind w:right="19"/>
              <w:jc w:val="center"/>
              <w:rPr>
                <w:rFonts w:ascii="Verdana" w:hAnsi="Verdana" w:cs="Arial"/>
                <w:b/>
                <w:caps/>
                <w:sz w:val="36"/>
                <w:szCs w:val="36"/>
                <w:lang w:eastAsia="ar-SA"/>
              </w:rPr>
            </w:pPr>
            <w:r w:rsidRPr="00431B7E">
              <w:rPr>
                <w:rFonts w:ascii="Verdana" w:hAnsi="Verdana" w:cs="Arial"/>
                <w:b/>
                <w:caps/>
                <w:sz w:val="36"/>
                <w:szCs w:val="36"/>
                <w:lang w:eastAsia="ar-SA"/>
              </w:rPr>
              <w:t xml:space="preserve">Rēzeknes novada </w:t>
            </w:r>
            <w:r w:rsidR="00105697">
              <w:rPr>
                <w:rFonts w:ascii="Verdana" w:hAnsi="Verdana" w:cs="Arial"/>
                <w:b/>
                <w:caps/>
                <w:sz w:val="36"/>
                <w:szCs w:val="36"/>
                <w:lang w:eastAsia="ar-SA"/>
              </w:rPr>
              <w:t>DOME</w:t>
            </w:r>
          </w:p>
          <w:p w14:paraId="63A0C7D4" w14:textId="77777777" w:rsidR="00431B7E" w:rsidRPr="00431B7E" w:rsidRDefault="00DF67A3" w:rsidP="00431B7E">
            <w:pPr>
              <w:widowControl w:val="0"/>
              <w:shd w:val="clear" w:color="auto" w:fill="FFFFFF"/>
              <w:suppressAutoHyphens/>
              <w:snapToGrid w:val="0"/>
              <w:spacing w:before="119" w:after="113"/>
              <w:ind w:right="19"/>
              <w:jc w:val="center"/>
              <w:rPr>
                <w:rFonts w:ascii="Verdana" w:hAnsi="Verdana"/>
                <w:caps/>
                <w:sz w:val="18"/>
                <w:szCs w:val="18"/>
                <w:lang w:eastAsia="ar-SA"/>
              </w:rPr>
            </w:pPr>
            <w:r w:rsidRPr="00431B7E">
              <w:rPr>
                <w:rFonts w:ascii="Verdana" w:hAnsi="Verdana"/>
                <w:caps/>
                <w:sz w:val="18"/>
                <w:szCs w:val="18"/>
                <w:lang w:eastAsia="ar-SA"/>
              </w:rPr>
              <w:t>Reģ.Nr.90009112679</w:t>
            </w:r>
          </w:p>
          <w:p w14:paraId="2A1EFA6A" w14:textId="77777777" w:rsidR="00431B7E" w:rsidRPr="00431B7E" w:rsidRDefault="00DF67A3" w:rsidP="00431B7E">
            <w:pPr>
              <w:widowControl w:val="0"/>
              <w:shd w:val="clear" w:color="auto" w:fill="FFFFFF"/>
              <w:suppressAutoHyphens/>
              <w:snapToGrid w:val="0"/>
              <w:spacing w:before="60"/>
              <w:jc w:val="center"/>
              <w:rPr>
                <w:rFonts w:ascii="Verdana" w:hAnsi="Verdana"/>
                <w:sz w:val="18"/>
                <w:szCs w:val="18"/>
                <w:lang w:eastAsia="ar-SA"/>
              </w:rPr>
            </w:pPr>
            <w:r w:rsidRPr="00431B7E">
              <w:rPr>
                <w:rFonts w:ascii="Verdana" w:hAnsi="Verdana"/>
                <w:sz w:val="18"/>
                <w:szCs w:val="18"/>
                <w:lang w:eastAsia="ar-SA"/>
              </w:rPr>
              <w:t>Atbrīvošanas aleja 95A,  Rēzekne,  LV – 4601,</w:t>
            </w:r>
          </w:p>
          <w:p w14:paraId="01798BA7" w14:textId="77777777" w:rsidR="00431B7E" w:rsidRPr="00431B7E" w:rsidRDefault="00DF67A3" w:rsidP="00431B7E">
            <w:pPr>
              <w:widowControl w:val="0"/>
              <w:shd w:val="clear" w:color="auto" w:fill="FFFFFF"/>
              <w:suppressAutoHyphens/>
              <w:snapToGrid w:val="0"/>
              <w:spacing w:before="60"/>
              <w:jc w:val="center"/>
              <w:rPr>
                <w:rFonts w:ascii="Verdana" w:hAnsi="Verdana"/>
                <w:sz w:val="18"/>
                <w:szCs w:val="18"/>
                <w:lang w:eastAsia="ar-SA"/>
              </w:rPr>
            </w:pPr>
            <w:r w:rsidRPr="00431B7E">
              <w:rPr>
                <w:rFonts w:ascii="Verdana" w:hAnsi="Verdana"/>
                <w:sz w:val="18"/>
                <w:szCs w:val="18"/>
                <w:lang w:eastAsia="ar-SA"/>
              </w:rPr>
              <w:t>Tel. 646 22238; 646 22231,  Fax. 646 25935,</w:t>
            </w:r>
          </w:p>
          <w:p w14:paraId="2EEF42A9" w14:textId="77777777" w:rsidR="00431B7E" w:rsidRPr="00431B7E" w:rsidRDefault="00DF67A3" w:rsidP="00431B7E">
            <w:pPr>
              <w:widowControl w:val="0"/>
              <w:shd w:val="clear" w:color="auto" w:fill="FFFFFF"/>
              <w:suppressAutoHyphens/>
              <w:snapToGrid w:val="0"/>
              <w:spacing w:before="60"/>
              <w:jc w:val="center"/>
              <w:rPr>
                <w:rFonts w:ascii="Verdana" w:hAnsi="Verdana"/>
                <w:sz w:val="18"/>
                <w:szCs w:val="18"/>
                <w:lang w:eastAsia="ar-SA"/>
              </w:rPr>
            </w:pPr>
            <w:r w:rsidRPr="00431B7E">
              <w:rPr>
                <w:rFonts w:ascii="Verdana" w:hAnsi="Verdana"/>
                <w:sz w:val="18"/>
                <w:szCs w:val="18"/>
                <w:lang w:eastAsia="ar-SA"/>
              </w:rPr>
              <w:t xml:space="preserve">E–pasts: </w:t>
            </w:r>
            <w:hyperlink r:id="rId8" w:history="1">
              <w:r w:rsidRPr="00431B7E">
                <w:rPr>
                  <w:rFonts w:ascii="Verdana" w:eastAsia="Lucida Sans Unicode" w:hAnsi="Verdana" w:cs="Tahoma"/>
                  <w:color w:val="0000FF"/>
                  <w:sz w:val="18"/>
                  <w:szCs w:val="18"/>
                  <w:u w:val="single"/>
                  <w:lang w:eastAsia="ar-SA"/>
                </w:rPr>
                <w:t>info@rezeknesnovads.lv</w:t>
              </w:r>
            </w:hyperlink>
          </w:p>
          <w:p w14:paraId="2BDD21B1" w14:textId="1324FC99" w:rsidR="00431B7E" w:rsidRPr="00431B7E" w:rsidRDefault="00105697" w:rsidP="00431B7E">
            <w:pPr>
              <w:widowControl w:val="0"/>
              <w:shd w:val="clear" w:color="auto" w:fill="FFFFFF"/>
              <w:suppressAutoHyphens/>
              <w:spacing w:before="120"/>
              <w:ind w:right="19"/>
              <w:jc w:val="center"/>
              <w:rPr>
                <w:rFonts w:eastAsia="Lucida Sans Unicode" w:cs="Tahoma"/>
                <w:lang w:eastAsia="ar-SA"/>
              </w:rPr>
            </w:pPr>
            <w:r w:rsidRPr="00431B7E">
              <w:rPr>
                <w:rFonts w:eastAsia="Lucida Sans Unicode" w:cs="Tahoma"/>
                <w:noProof/>
              </w:rPr>
              <mc:AlternateContent>
                <mc:Choice Requires="wps">
                  <w:drawing>
                    <wp:anchor distT="0" distB="0" distL="114300" distR="114300" simplePos="0" relativeHeight="251658240" behindDoc="0" locked="0" layoutInCell="1" allowOverlap="1" wp14:anchorId="1AE7EC89" wp14:editId="4FF33032">
                      <wp:simplePos x="0" y="0"/>
                      <wp:positionH relativeFrom="column">
                        <wp:posOffset>-1851660</wp:posOffset>
                      </wp:positionH>
                      <wp:positionV relativeFrom="paragraph">
                        <wp:posOffset>328295</wp:posOffset>
                      </wp:positionV>
                      <wp:extent cx="5950585" cy="0"/>
                      <wp:effectExtent l="9525" t="9525" r="1206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0E4BE9"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8pt,25.85pt" to="322.7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" strokeweight=".26mm">
                      <v:stroke joinstyle="miter"/>
                    </v:line>
                  </w:pict>
                </mc:Fallback>
              </mc:AlternateContent>
            </w:r>
            <w:r w:rsidR="00DF67A3" w:rsidRPr="00431B7E">
              <w:rPr>
                <w:rFonts w:ascii="Verdana" w:hAnsi="Verdana"/>
                <w:sz w:val="18"/>
                <w:szCs w:val="18"/>
                <w:lang w:eastAsia="ar-SA"/>
              </w:rPr>
              <w:t xml:space="preserve">Informācija Internetā:  </w:t>
            </w:r>
            <w:hyperlink r:id="rId9" w:history="1">
              <w:r w:rsidR="00DF67A3" w:rsidRPr="00431B7E">
                <w:rPr>
                  <w:rFonts w:ascii="Verdana" w:eastAsia="Lucida Sans Unicode" w:hAnsi="Verdana" w:cs="Tahoma"/>
                  <w:color w:val="0000FF"/>
                  <w:sz w:val="18"/>
                  <w:szCs w:val="18"/>
                  <w:u w:val="single"/>
                  <w:lang w:eastAsia="ar-SA"/>
                </w:rPr>
                <w:t>http://www.rezeknesnovads.lv</w:t>
              </w:r>
            </w:hyperlink>
          </w:p>
        </w:tc>
      </w:tr>
    </w:tbl>
    <w:p w14:paraId="1F92473A" w14:textId="77777777" w:rsidR="004D7608" w:rsidRDefault="00DF67A3" w:rsidP="004D7608">
      <w:pPr>
        <w:ind w:right="46"/>
        <w:jc w:val="center"/>
        <w:rPr>
          <w:b/>
          <w:bCs/>
        </w:rPr>
      </w:pPr>
      <w:r>
        <w:rPr>
          <w:b/>
          <w:bCs/>
        </w:rPr>
        <w:t xml:space="preserve">Paskaidrojuma raksts </w:t>
      </w:r>
    </w:p>
    <w:p w14:paraId="49C32F05" w14:textId="77777777" w:rsidR="004D7608" w:rsidRPr="007E3110" w:rsidRDefault="00DF67A3" w:rsidP="004D7608">
      <w:pPr>
        <w:ind w:right="46"/>
        <w:jc w:val="center"/>
        <w:rPr>
          <w:b/>
          <w:bCs/>
        </w:rPr>
      </w:pPr>
      <w:r>
        <w:rPr>
          <w:b/>
        </w:rPr>
        <w:t xml:space="preserve">Rēzeknes novada pašvaldības saistošajiem noteikumiem </w:t>
      </w:r>
    </w:p>
    <w:p w14:paraId="259D938E" w14:textId="77777777" w:rsidR="0089243D" w:rsidRPr="0089243D" w:rsidRDefault="00DF67A3" w:rsidP="0089243D">
      <w:pPr>
        <w:jc w:val="center"/>
        <w:rPr>
          <w:b/>
        </w:rPr>
      </w:pPr>
      <w:r>
        <w:rPr>
          <w:b/>
        </w:rPr>
        <w:t>“</w:t>
      </w:r>
      <w:r w:rsidR="0089243D" w:rsidRPr="0089243D">
        <w:rPr>
          <w:b/>
        </w:rPr>
        <w:t xml:space="preserve">Grozījumi Rēzeknes novada pašvaldības </w:t>
      </w:r>
      <w:r w:rsidR="0089243D" w:rsidRPr="0089243D">
        <w:rPr>
          <w:b/>
          <w:bCs/>
        </w:rPr>
        <w:t xml:space="preserve">2022.gada 17.marta </w:t>
      </w:r>
      <w:r w:rsidR="0089243D" w:rsidRPr="0089243D">
        <w:rPr>
          <w:b/>
        </w:rPr>
        <w:t xml:space="preserve">saistošajos noteikumos Nr.39 „Par Rēzeknes novada pašvaldības līdzfinansējuma piešķiršanu daudzdzīvokļu </w:t>
      </w:r>
    </w:p>
    <w:p w14:paraId="361B0690" w14:textId="77777777" w:rsidR="004555E4" w:rsidRPr="008D6414" w:rsidRDefault="0089243D" w:rsidP="004555E4">
      <w:pPr>
        <w:jc w:val="center"/>
        <w:rPr>
          <w:b/>
        </w:rPr>
      </w:pPr>
      <w:r w:rsidRPr="0089243D">
        <w:rPr>
          <w:b/>
        </w:rPr>
        <w:t>dzīvojamo māju energoefektivitātes pasākumu veikšanai</w:t>
      </w:r>
      <w:r w:rsidR="004555E4">
        <w:rPr>
          <w:b/>
        </w:rPr>
        <w:t>,</w:t>
      </w:r>
      <w:r w:rsidRPr="0089243D">
        <w:rPr>
          <w:b/>
        </w:rPr>
        <w:t xml:space="preserve"> šo māju</w:t>
      </w:r>
      <w:r w:rsidRPr="0089243D">
        <w:rPr>
          <w:b/>
        </w:rPr>
        <w:br/>
        <w:t>īpašumā vai nomā esošo zemesgabalu labiekārtošanai</w:t>
      </w:r>
      <w:r w:rsidR="004555E4">
        <w:rPr>
          <w:b/>
        </w:rPr>
        <w:t xml:space="preserve"> un </w:t>
      </w:r>
      <w:r w:rsidR="004555E4" w:rsidRPr="008D6414">
        <w:rPr>
          <w:b/>
        </w:rPr>
        <w:t xml:space="preserve">daudzdzīvokļu </w:t>
      </w:r>
    </w:p>
    <w:p w14:paraId="5FEFC06F" w14:textId="45D79BDA" w:rsidR="004D7608" w:rsidRDefault="004555E4" w:rsidP="004555E4">
      <w:pPr>
        <w:jc w:val="center"/>
        <w:rPr>
          <w:b/>
        </w:rPr>
      </w:pPr>
      <w:r w:rsidRPr="008D6414">
        <w:rPr>
          <w:b/>
        </w:rPr>
        <w:t>dzīvojamo māju</w:t>
      </w:r>
      <w:r>
        <w:rPr>
          <w:b/>
        </w:rPr>
        <w:t xml:space="preserve"> atjaunošanas pasākumiem</w:t>
      </w:r>
      <w:r w:rsidR="00DF67A3">
        <w:rPr>
          <w:b/>
        </w:rPr>
        <w:t xml:space="preserve">”” </w:t>
      </w:r>
    </w:p>
    <w:tbl>
      <w:tblPr>
        <w:tblW w:w="9716" w:type="dxa"/>
        <w:tblInd w:w="-2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15"/>
        <w:gridCol w:w="7201"/>
      </w:tblGrid>
      <w:tr w:rsidR="007E44AD" w14:paraId="6055F544" w14:textId="77777777" w:rsidTr="00FD6450">
        <w:trPr>
          <w:cantSplit/>
        </w:trPr>
        <w:tc>
          <w:tcPr>
            <w:tcW w:w="2515" w:type="dxa"/>
            <w:tcBorders>
              <w:top w:val="single" w:sz="4" w:space="0" w:color="auto"/>
              <w:left w:val="single" w:sz="4" w:space="0" w:color="auto"/>
              <w:bottom w:val="single" w:sz="4" w:space="0" w:color="auto"/>
              <w:right w:val="single" w:sz="4" w:space="0" w:color="auto"/>
            </w:tcBorders>
          </w:tcPr>
          <w:p w14:paraId="6D7057EA" w14:textId="77777777" w:rsidR="004D7608" w:rsidRPr="00A42BD4" w:rsidRDefault="00DF67A3" w:rsidP="00FD6450">
            <w:pPr>
              <w:pStyle w:val="naiskr"/>
              <w:spacing w:before="120" w:after="120"/>
              <w:jc w:val="center"/>
              <w:rPr>
                <w:b/>
                <w:sz w:val="22"/>
                <w:szCs w:val="22"/>
              </w:rPr>
            </w:pPr>
            <w:r w:rsidRPr="00A42BD4">
              <w:rPr>
                <w:b/>
                <w:sz w:val="22"/>
                <w:szCs w:val="22"/>
              </w:rPr>
              <w:t>Paskaidrojuma raksta sadaļas</w:t>
            </w:r>
          </w:p>
        </w:tc>
        <w:tc>
          <w:tcPr>
            <w:tcW w:w="7201" w:type="dxa"/>
            <w:tcBorders>
              <w:top w:val="single" w:sz="4" w:space="0" w:color="auto"/>
              <w:left w:val="single" w:sz="4" w:space="0" w:color="auto"/>
              <w:bottom w:val="single" w:sz="4" w:space="0" w:color="auto"/>
              <w:right w:val="single" w:sz="4" w:space="0" w:color="auto"/>
            </w:tcBorders>
            <w:vAlign w:val="center"/>
          </w:tcPr>
          <w:p w14:paraId="09E9906A" w14:textId="77777777" w:rsidR="004D7608" w:rsidRPr="00A42BD4" w:rsidRDefault="00DF67A3" w:rsidP="00FD6450">
            <w:pPr>
              <w:pStyle w:val="naisnod"/>
              <w:spacing w:before="0" w:after="0"/>
              <w:rPr>
                <w:sz w:val="22"/>
                <w:szCs w:val="22"/>
                <w:lang w:eastAsia="en-US"/>
              </w:rPr>
            </w:pPr>
            <w:r w:rsidRPr="00A42BD4">
              <w:rPr>
                <w:sz w:val="22"/>
                <w:szCs w:val="22"/>
                <w:lang w:eastAsia="en-US"/>
              </w:rPr>
              <w:t>Norādāmā informācija</w:t>
            </w:r>
          </w:p>
        </w:tc>
      </w:tr>
      <w:tr w:rsidR="004C6904" w14:paraId="6D785B21" w14:textId="77777777" w:rsidTr="00FD6450">
        <w:trPr>
          <w:cantSplit/>
        </w:trPr>
        <w:tc>
          <w:tcPr>
            <w:tcW w:w="2515" w:type="dxa"/>
            <w:tcBorders>
              <w:top w:val="single" w:sz="4" w:space="0" w:color="auto"/>
              <w:left w:val="single" w:sz="4" w:space="0" w:color="auto"/>
              <w:bottom w:val="single" w:sz="4" w:space="0" w:color="auto"/>
              <w:right w:val="single" w:sz="4" w:space="0" w:color="auto"/>
            </w:tcBorders>
          </w:tcPr>
          <w:p w14:paraId="5CAF2BD6" w14:textId="4C7ED59A" w:rsidR="004C6904" w:rsidRPr="00BC195C" w:rsidRDefault="004C6904" w:rsidP="004C6904">
            <w:pPr>
              <w:pStyle w:val="naiskr"/>
              <w:spacing w:before="120" w:after="120"/>
              <w:rPr>
                <w:bCs/>
                <w:sz w:val="20"/>
                <w:szCs w:val="20"/>
              </w:rPr>
            </w:pPr>
            <w:r w:rsidRPr="00BC195C">
              <w:rPr>
                <w:bCs/>
                <w:sz w:val="20"/>
                <w:szCs w:val="20"/>
              </w:rPr>
              <w:t>1. Mērķis un nepieciešamības pamatojums</w:t>
            </w:r>
          </w:p>
        </w:tc>
        <w:tc>
          <w:tcPr>
            <w:tcW w:w="7201" w:type="dxa"/>
            <w:tcBorders>
              <w:top w:val="single" w:sz="4" w:space="0" w:color="auto"/>
              <w:left w:val="single" w:sz="4" w:space="0" w:color="auto"/>
              <w:bottom w:val="single" w:sz="4" w:space="0" w:color="auto"/>
              <w:right w:val="single" w:sz="4" w:space="0" w:color="auto"/>
            </w:tcBorders>
            <w:vAlign w:val="center"/>
          </w:tcPr>
          <w:p w14:paraId="1162861F" w14:textId="77777777" w:rsidR="007C7208" w:rsidRDefault="004C6904" w:rsidP="004555E4">
            <w:pPr>
              <w:widowControl w:val="0"/>
              <w:numPr>
                <w:ilvl w:val="0"/>
                <w:numId w:val="1"/>
              </w:numPr>
              <w:ind w:left="466" w:right="102" w:hanging="425"/>
              <w:jc w:val="both"/>
              <w:textAlignment w:val="baseline"/>
              <w:rPr>
                <w:bCs/>
                <w:sz w:val="20"/>
                <w:szCs w:val="20"/>
              </w:rPr>
            </w:pPr>
            <w:r w:rsidRPr="00BC195C">
              <w:rPr>
                <w:sz w:val="20"/>
                <w:szCs w:val="20"/>
              </w:rPr>
              <w:t xml:space="preserve">Saistošo noteikumu izdošanas mērķis ir izdarīt grozījumus 2022.gada 30.martā spēkā stājušos  </w:t>
            </w:r>
            <w:r w:rsidRPr="00BC195C">
              <w:rPr>
                <w:bCs/>
                <w:sz w:val="20"/>
                <w:szCs w:val="20"/>
              </w:rPr>
              <w:t>Rēzeknes novada pašvaldības 2022.gada 17.marta saistošajos noteikumos Nr.39 „Par Rēzeknes novada pašvaldības līdzfinansējuma piešķiršanu daudzdzīvokļu dzīvojamo māju energoefektivitātes pasākumu veikšanai</w:t>
            </w:r>
            <w:r w:rsidR="004555E4">
              <w:rPr>
                <w:bCs/>
                <w:sz w:val="20"/>
                <w:szCs w:val="20"/>
              </w:rPr>
              <w:t>,</w:t>
            </w:r>
            <w:r w:rsidRPr="00BC195C">
              <w:rPr>
                <w:bCs/>
                <w:sz w:val="20"/>
                <w:szCs w:val="20"/>
              </w:rPr>
              <w:t xml:space="preserve"> šo māju īpašumā vai nomā esošo zemesgabalu labiekārtošanai</w:t>
            </w:r>
            <w:r w:rsidR="004555E4">
              <w:rPr>
                <w:bCs/>
                <w:sz w:val="20"/>
                <w:szCs w:val="20"/>
              </w:rPr>
              <w:t xml:space="preserve"> </w:t>
            </w:r>
            <w:r w:rsidR="004555E4" w:rsidRPr="004555E4">
              <w:rPr>
                <w:bCs/>
                <w:sz w:val="20"/>
                <w:szCs w:val="20"/>
              </w:rPr>
              <w:t>un daudzdzīvokļu dzīvojamo māju atjaunošanas pasākumiem</w:t>
            </w:r>
            <w:r w:rsidRPr="004555E4">
              <w:rPr>
                <w:bCs/>
                <w:sz w:val="20"/>
                <w:szCs w:val="20"/>
              </w:rPr>
              <w:t xml:space="preserve">”, turpmāk – Saistošie noteikumi Nr.39, lai </w:t>
            </w:r>
            <w:r w:rsidR="004555E4" w:rsidRPr="004555E4">
              <w:rPr>
                <w:bCs/>
                <w:sz w:val="20"/>
                <w:szCs w:val="20"/>
              </w:rPr>
              <w:t>precizētu Saistošo noteikumu Nr.39 redakciju</w:t>
            </w:r>
            <w:r w:rsidR="007C7208">
              <w:rPr>
                <w:bCs/>
                <w:sz w:val="20"/>
                <w:szCs w:val="20"/>
              </w:rPr>
              <w:t>.</w:t>
            </w:r>
          </w:p>
          <w:p w14:paraId="689C9ABF" w14:textId="77777777" w:rsidR="00300FB5" w:rsidRDefault="007C7208" w:rsidP="00300FB5">
            <w:pPr>
              <w:widowControl w:val="0"/>
              <w:numPr>
                <w:ilvl w:val="0"/>
                <w:numId w:val="1"/>
              </w:numPr>
              <w:ind w:left="466" w:right="102" w:hanging="425"/>
              <w:jc w:val="both"/>
              <w:textAlignment w:val="baseline"/>
              <w:rPr>
                <w:bCs/>
                <w:sz w:val="20"/>
                <w:szCs w:val="20"/>
              </w:rPr>
            </w:pPr>
            <w:r w:rsidRPr="004555E4">
              <w:rPr>
                <w:bCs/>
                <w:sz w:val="20"/>
                <w:szCs w:val="20"/>
              </w:rPr>
              <w:t xml:space="preserve">Saistošo noteikumu Nr.39 </w:t>
            </w:r>
            <w:r>
              <w:rPr>
                <w:bCs/>
                <w:sz w:val="20"/>
                <w:szCs w:val="20"/>
              </w:rPr>
              <w:t>redakcijas precizē3šana tiek veikta</w:t>
            </w:r>
            <w:r w:rsidR="004555E4" w:rsidRPr="004555E4">
              <w:rPr>
                <w:bCs/>
                <w:sz w:val="20"/>
                <w:szCs w:val="20"/>
              </w:rPr>
              <w:t xml:space="preserve"> ņemot vērā saņemtos </w:t>
            </w:r>
            <w:r w:rsidR="00260A50">
              <w:rPr>
                <w:bCs/>
                <w:sz w:val="20"/>
                <w:szCs w:val="20"/>
              </w:rPr>
              <w:t>līdzfinansējuma piešķiršanas komisijas priekšlikumus</w:t>
            </w:r>
            <w:r w:rsidR="004555E4" w:rsidRPr="004555E4">
              <w:rPr>
                <w:bCs/>
                <w:sz w:val="20"/>
                <w:szCs w:val="20"/>
              </w:rPr>
              <w:t xml:space="preserve"> par Saistošo noteikumu Nr.39 atsevišķu punktu redakcij</w:t>
            </w:r>
            <w:r w:rsidR="00260A50">
              <w:rPr>
                <w:bCs/>
                <w:sz w:val="20"/>
                <w:szCs w:val="20"/>
              </w:rPr>
              <w:t xml:space="preserve">u grozīšanu (papildināšanu), kā arī ņemot vērā dzīvokļu īpašnieku biedrības “Adamova-3” ierosinājumu </w:t>
            </w:r>
            <w:r w:rsidR="004555E4" w:rsidRPr="004555E4">
              <w:rPr>
                <w:bCs/>
                <w:sz w:val="20"/>
                <w:szCs w:val="20"/>
              </w:rPr>
              <w:t>1.pielikum</w:t>
            </w:r>
            <w:r w:rsidR="00260A50">
              <w:rPr>
                <w:bCs/>
                <w:sz w:val="20"/>
                <w:szCs w:val="20"/>
              </w:rPr>
              <w:t>a</w:t>
            </w:r>
            <w:r w:rsidR="004555E4" w:rsidRPr="004555E4">
              <w:rPr>
                <w:bCs/>
                <w:sz w:val="20"/>
                <w:szCs w:val="20"/>
              </w:rPr>
              <w:t xml:space="preserve">, kurā norādīti pieteikumam pievienojamie dokumenti, </w:t>
            </w:r>
            <w:r w:rsidR="00260A50">
              <w:rPr>
                <w:bCs/>
                <w:sz w:val="20"/>
                <w:szCs w:val="20"/>
              </w:rPr>
              <w:t>precizēšanai,</w:t>
            </w:r>
            <w:r w:rsidR="004555E4" w:rsidRPr="004555E4">
              <w:rPr>
                <w:bCs/>
                <w:sz w:val="20"/>
                <w:szCs w:val="20"/>
              </w:rPr>
              <w:t xml:space="preserve"> atvieglojot pretendentiem pieteikuma iesniegšanu</w:t>
            </w:r>
            <w:r w:rsidR="004C6904" w:rsidRPr="004555E4">
              <w:rPr>
                <w:bCs/>
                <w:sz w:val="20"/>
                <w:szCs w:val="20"/>
              </w:rPr>
              <w:t>.</w:t>
            </w:r>
          </w:p>
          <w:p w14:paraId="562234F1" w14:textId="44EDD09E" w:rsidR="007C7208" w:rsidRPr="0069704C" w:rsidRDefault="004C6904" w:rsidP="00300FB5">
            <w:pPr>
              <w:widowControl w:val="0"/>
              <w:numPr>
                <w:ilvl w:val="0"/>
                <w:numId w:val="1"/>
              </w:numPr>
              <w:ind w:left="466" w:right="102" w:hanging="425"/>
              <w:jc w:val="both"/>
              <w:textAlignment w:val="baseline"/>
              <w:rPr>
                <w:bCs/>
                <w:sz w:val="20"/>
                <w:szCs w:val="20"/>
              </w:rPr>
            </w:pPr>
            <w:r w:rsidRPr="00300FB5">
              <w:rPr>
                <w:bCs/>
                <w:sz w:val="20"/>
                <w:szCs w:val="20"/>
              </w:rPr>
              <w:t>Šobrīd pašvaldības līdzfinansējuma piešķiršanu nosaka Saistošie noteikumi Nr.39 (izsludināti Latvijas Vēstnesī 29.03.2022., Nr.62</w:t>
            </w:r>
            <w:r w:rsidR="004555E4" w:rsidRPr="00300FB5">
              <w:rPr>
                <w:bCs/>
                <w:sz w:val="20"/>
                <w:szCs w:val="20"/>
              </w:rPr>
              <w:t>,</w:t>
            </w:r>
            <w:r w:rsidR="007C7208">
              <w:t xml:space="preserve"> </w:t>
            </w:r>
            <w:r w:rsidR="00300FB5" w:rsidRPr="00300FB5">
              <w:rPr>
                <w:sz w:val="20"/>
                <w:szCs w:val="20"/>
              </w:rPr>
              <w:t>grozījumi -</w:t>
            </w:r>
            <w:r w:rsidR="00300FB5">
              <w:t xml:space="preserve"> </w:t>
            </w:r>
            <w:r w:rsidR="007C7208" w:rsidRPr="00300FB5">
              <w:rPr>
                <w:bCs/>
                <w:sz w:val="20"/>
                <w:szCs w:val="20"/>
              </w:rPr>
              <w:t>Nr.2023/186.15</w:t>
            </w:r>
            <w:r w:rsidRPr="00300FB5">
              <w:rPr>
                <w:bCs/>
                <w:sz w:val="20"/>
                <w:szCs w:val="20"/>
              </w:rPr>
              <w:t xml:space="preserve">), </w:t>
            </w:r>
            <w:r w:rsidR="007C7208" w:rsidRPr="00300FB5">
              <w:rPr>
                <w:bCs/>
                <w:sz w:val="20"/>
                <w:szCs w:val="20"/>
              </w:rPr>
              <w:t>5.</w:t>
            </w:r>
            <w:r w:rsidRPr="00300FB5">
              <w:rPr>
                <w:bCs/>
                <w:sz w:val="20"/>
                <w:szCs w:val="20"/>
              </w:rPr>
              <w:t>1.</w:t>
            </w:r>
            <w:r w:rsidR="007C7208" w:rsidRPr="00300FB5">
              <w:rPr>
                <w:bCs/>
                <w:sz w:val="20"/>
                <w:szCs w:val="20"/>
              </w:rPr>
              <w:t>apakšpunktā</w:t>
            </w:r>
            <w:r w:rsidRPr="00300FB5">
              <w:rPr>
                <w:bCs/>
                <w:sz w:val="20"/>
                <w:szCs w:val="20"/>
              </w:rPr>
              <w:t xml:space="preserve"> ir noteikts, ka </w:t>
            </w:r>
            <w:r w:rsidR="007C7208" w:rsidRPr="00300FB5">
              <w:rPr>
                <w:bCs/>
                <w:sz w:val="20"/>
                <w:szCs w:val="20"/>
              </w:rPr>
              <w:t>būvniecības ieceres dokumentācijas izstrāde, t.sk. energoaudita veikšana energoefektivitātes pasākumu paaugstināšanas nodrošināšanai, ja tā tika veikta ne agrāk kā 2022.gada 17.martā</w:t>
            </w:r>
            <w:r w:rsidRPr="00300FB5">
              <w:rPr>
                <w:bCs/>
                <w:sz w:val="20"/>
                <w:szCs w:val="20"/>
              </w:rPr>
              <w:t>.</w:t>
            </w:r>
            <w:r w:rsidR="007C7208" w:rsidRPr="00300FB5">
              <w:rPr>
                <w:bCs/>
                <w:sz w:val="20"/>
                <w:szCs w:val="20"/>
              </w:rPr>
              <w:t xml:space="preserve"> Citos Saistošo noteikumu Nr.39 punktos attiecībā uz atbalstāmo izmaksu nav iepriekšējo periodu, kas </w:t>
            </w:r>
            <w:r w:rsidR="00815CCD" w:rsidRPr="00300FB5">
              <w:rPr>
                <w:bCs/>
                <w:sz w:val="20"/>
                <w:szCs w:val="20"/>
              </w:rPr>
              <w:t>komisijas ieskatā nav vienlīdzīgi, līdz ar to nepieciešams</w:t>
            </w:r>
            <w:r w:rsidR="007C7208" w:rsidRPr="00300FB5">
              <w:t xml:space="preserve"> </w:t>
            </w:r>
            <w:r w:rsidR="00815CCD" w:rsidRPr="00300FB5">
              <w:rPr>
                <w:sz w:val="20"/>
                <w:szCs w:val="20"/>
              </w:rPr>
              <w:t>p</w:t>
            </w:r>
            <w:r w:rsidR="007C7208" w:rsidRPr="00300FB5">
              <w:rPr>
                <w:bCs/>
                <w:sz w:val="20"/>
                <w:szCs w:val="20"/>
              </w:rPr>
              <w:t xml:space="preserve">apildināt </w:t>
            </w:r>
            <w:r w:rsidR="00815CCD" w:rsidRPr="00300FB5">
              <w:rPr>
                <w:bCs/>
                <w:sz w:val="20"/>
                <w:szCs w:val="20"/>
              </w:rPr>
              <w:t xml:space="preserve">arī 5.2.apakšpunktu, </w:t>
            </w:r>
            <w:r w:rsidR="007C7208" w:rsidRPr="00300FB5">
              <w:rPr>
                <w:bCs/>
                <w:sz w:val="20"/>
                <w:szCs w:val="20"/>
              </w:rPr>
              <w:t>6.punkt</w:t>
            </w:r>
            <w:r w:rsidR="00815CCD" w:rsidRPr="00300FB5">
              <w:rPr>
                <w:bCs/>
                <w:sz w:val="20"/>
                <w:szCs w:val="20"/>
              </w:rPr>
              <w:t>u un 6</w:t>
            </w:r>
            <w:r w:rsidR="00815CCD" w:rsidRPr="00300FB5">
              <w:rPr>
                <w:bCs/>
                <w:sz w:val="20"/>
                <w:szCs w:val="20"/>
                <w:vertAlign w:val="superscript"/>
              </w:rPr>
              <w:t>.1</w:t>
            </w:r>
            <w:r w:rsidR="00815CCD" w:rsidRPr="00300FB5">
              <w:rPr>
                <w:bCs/>
                <w:sz w:val="20"/>
                <w:szCs w:val="20"/>
              </w:rPr>
              <w:t xml:space="preserve"> 2.apakšpunktu</w:t>
            </w:r>
            <w:r w:rsidR="007C7208" w:rsidRPr="00300FB5">
              <w:rPr>
                <w:bCs/>
                <w:sz w:val="20"/>
                <w:szCs w:val="20"/>
              </w:rPr>
              <w:t>.</w:t>
            </w:r>
            <w:r w:rsidR="00815CCD" w:rsidRPr="00300FB5">
              <w:rPr>
                <w:bCs/>
                <w:sz w:val="20"/>
                <w:szCs w:val="20"/>
              </w:rPr>
              <w:t xml:space="preserve"> Bez tam </w:t>
            </w:r>
            <w:r w:rsidR="00300FB5" w:rsidRPr="00300FB5">
              <w:rPr>
                <w:bCs/>
                <w:sz w:val="20"/>
                <w:szCs w:val="20"/>
              </w:rPr>
              <w:t xml:space="preserve">šobrīd </w:t>
            </w:r>
            <w:r w:rsidR="00815CCD" w:rsidRPr="00300FB5">
              <w:rPr>
                <w:bCs/>
                <w:sz w:val="20"/>
                <w:szCs w:val="20"/>
              </w:rPr>
              <w:t xml:space="preserve">Saistošo noteikumus Nr.39 </w:t>
            </w:r>
            <w:r w:rsidR="00300FB5" w:rsidRPr="00300FB5">
              <w:rPr>
                <w:bCs/>
                <w:sz w:val="20"/>
                <w:szCs w:val="20"/>
              </w:rPr>
              <w:t>atsevišķos</w:t>
            </w:r>
            <w:r w:rsidR="00815CCD" w:rsidRPr="00300FB5">
              <w:rPr>
                <w:bCs/>
                <w:sz w:val="20"/>
                <w:szCs w:val="20"/>
              </w:rPr>
              <w:t xml:space="preserve"> punktos nav precīzi </w:t>
            </w:r>
            <w:r w:rsidR="00300FB5" w:rsidRPr="00300FB5">
              <w:rPr>
                <w:bCs/>
                <w:sz w:val="20"/>
                <w:szCs w:val="20"/>
              </w:rPr>
              <w:t>atbalstāmo</w:t>
            </w:r>
            <w:r w:rsidR="00815CCD" w:rsidRPr="00300FB5">
              <w:rPr>
                <w:bCs/>
                <w:sz w:val="20"/>
                <w:szCs w:val="20"/>
              </w:rPr>
              <w:t xml:space="preserve"> summu apmērs attiecībā </w:t>
            </w:r>
            <w:r w:rsidR="00815CCD" w:rsidRPr="0069704C">
              <w:rPr>
                <w:bCs/>
                <w:sz w:val="20"/>
                <w:szCs w:val="20"/>
              </w:rPr>
              <w:t>uz PVN, līdz ar to ir nepieciešams papildināt  8.1., 8.2., 9.1., 9.2., 9.3., 9.4. apakšpunktus, kā arī grozīt 9.</w:t>
            </w:r>
            <w:r w:rsidR="00815CCD" w:rsidRPr="0069704C">
              <w:rPr>
                <w:bCs/>
                <w:sz w:val="20"/>
                <w:szCs w:val="20"/>
                <w:vertAlign w:val="superscript"/>
              </w:rPr>
              <w:t>1</w:t>
            </w:r>
            <w:r w:rsidR="00815CCD" w:rsidRPr="0069704C">
              <w:rPr>
                <w:bCs/>
                <w:sz w:val="20"/>
                <w:szCs w:val="20"/>
              </w:rPr>
              <w:t xml:space="preserve"> 1. un 9.</w:t>
            </w:r>
            <w:r w:rsidR="00815CCD" w:rsidRPr="0069704C">
              <w:rPr>
                <w:bCs/>
                <w:sz w:val="20"/>
                <w:szCs w:val="20"/>
                <w:vertAlign w:val="superscript"/>
              </w:rPr>
              <w:t>1</w:t>
            </w:r>
            <w:r w:rsidR="00815CCD" w:rsidRPr="0069704C">
              <w:rPr>
                <w:bCs/>
                <w:sz w:val="20"/>
                <w:szCs w:val="20"/>
              </w:rPr>
              <w:t xml:space="preserve"> 2.apakšpunktus. </w:t>
            </w:r>
            <w:r w:rsidR="00300FB5" w:rsidRPr="0069704C">
              <w:rPr>
                <w:bCs/>
                <w:sz w:val="20"/>
                <w:szCs w:val="20"/>
              </w:rPr>
              <w:t xml:space="preserve">No normatīvo aktiem ir secināms, ka iespējams konstatēt ne tikai ēku avārijas stāvokli, bet arī pirms avārijas stāvokli, līdz ar to ir nepieciešams papildināt </w:t>
            </w:r>
            <w:r w:rsidR="007C7208" w:rsidRPr="0069704C">
              <w:rPr>
                <w:bCs/>
                <w:sz w:val="20"/>
                <w:szCs w:val="20"/>
              </w:rPr>
              <w:t>6.</w:t>
            </w:r>
            <w:r w:rsidR="007C7208" w:rsidRPr="0069704C">
              <w:rPr>
                <w:bCs/>
                <w:sz w:val="20"/>
                <w:szCs w:val="20"/>
                <w:vertAlign w:val="superscript"/>
              </w:rPr>
              <w:t>1</w:t>
            </w:r>
            <w:r w:rsidR="007C7208" w:rsidRPr="0069704C">
              <w:rPr>
                <w:bCs/>
                <w:sz w:val="20"/>
                <w:szCs w:val="20"/>
              </w:rPr>
              <w:t xml:space="preserve"> punkt</w:t>
            </w:r>
            <w:r w:rsidR="00300FB5" w:rsidRPr="0069704C">
              <w:rPr>
                <w:bCs/>
                <w:sz w:val="20"/>
                <w:szCs w:val="20"/>
              </w:rPr>
              <w:t>a redakciju</w:t>
            </w:r>
            <w:r w:rsidR="007C7208" w:rsidRPr="0069704C">
              <w:rPr>
                <w:bCs/>
                <w:sz w:val="20"/>
                <w:szCs w:val="20"/>
              </w:rPr>
              <w:t>.</w:t>
            </w:r>
            <w:r w:rsidR="00300FB5" w:rsidRPr="0069704C">
              <w:rPr>
                <w:bCs/>
                <w:sz w:val="20"/>
                <w:szCs w:val="20"/>
              </w:rPr>
              <w:t xml:space="preserve"> Tāpat ir precizējamas arī </w:t>
            </w:r>
            <w:r w:rsidR="007C7208" w:rsidRPr="0069704C">
              <w:rPr>
                <w:bCs/>
                <w:sz w:val="20"/>
                <w:szCs w:val="20"/>
              </w:rPr>
              <w:t>7.</w:t>
            </w:r>
            <w:r w:rsidR="007C7208" w:rsidRPr="0069704C">
              <w:rPr>
                <w:bCs/>
                <w:sz w:val="20"/>
                <w:szCs w:val="20"/>
                <w:vertAlign w:val="superscript"/>
              </w:rPr>
              <w:t>1</w:t>
            </w:r>
            <w:r w:rsidR="00300FB5" w:rsidRPr="0069704C">
              <w:rPr>
                <w:bCs/>
                <w:sz w:val="20"/>
                <w:szCs w:val="20"/>
              </w:rPr>
              <w:t>,</w:t>
            </w:r>
            <w:r w:rsidR="007C7208" w:rsidRPr="0069704C">
              <w:rPr>
                <w:bCs/>
                <w:sz w:val="20"/>
                <w:szCs w:val="20"/>
              </w:rPr>
              <w:t xml:space="preserve"> 26.punkt</w:t>
            </w:r>
            <w:r w:rsidR="00300FB5" w:rsidRPr="0069704C">
              <w:rPr>
                <w:bCs/>
                <w:sz w:val="20"/>
                <w:szCs w:val="20"/>
              </w:rPr>
              <w:t>u redakcijas, kā arī nepieciešams papildināt Saistošo noteikumu</w:t>
            </w:r>
            <w:r w:rsidR="007C7208" w:rsidRPr="0069704C">
              <w:rPr>
                <w:bCs/>
                <w:sz w:val="20"/>
                <w:szCs w:val="20"/>
              </w:rPr>
              <w:t xml:space="preserve"> </w:t>
            </w:r>
            <w:r w:rsidR="00300FB5" w:rsidRPr="0069704C">
              <w:rPr>
                <w:bCs/>
                <w:sz w:val="20"/>
                <w:szCs w:val="20"/>
              </w:rPr>
              <w:t>Nr.39 1.pielikumu, ko tā teksta uztveramībai ir lietderīgāk izt</w:t>
            </w:r>
            <w:r w:rsidR="007C7208" w:rsidRPr="0069704C">
              <w:rPr>
                <w:bCs/>
                <w:sz w:val="20"/>
                <w:szCs w:val="20"/>
              </w:rPr>
              <w:t>eikt jaunā redakcijā.</w:t>
            </w:r>
          </w:p>
          <w:p w14:paraId="65D6C694" w14:textId="27FFEF9D" w:rsidR="00413ACA" w:rsidRPr="0069704C" w:rsidRDefault="00413ACA" w:rsidP="00413ACA">
            <w:pPr>
              <w:widowControl w:val="0"/>
              <w:ind w:left="466" w:right="102"/>
              <w:jc w:val="both"/>
              <w:textAlignment w:val="baseline"/>
              <w:rPr>
                <w:bCs/>
                <w:sz w:val="20"/>
                <w:szCs w:val="20"/>
              </w:rPr>
            </w:pPr>
            <w:r w:rsidRPr="0069704C">
              <w:rPr>
                <w:bCs/>
                <w:sz w:val="20"/>
                <w:szCs w:val="20"/>
              </w:rPr>
              <w:t xml:space="preserve">Sakarā ar to, ka 2024.gada 1.janvārī stājies spēkā arī jauns regulējums attiecībā uz </w:t>
            </w:r>
            <w:r w:rsidRPr="0069704C">
              <w:rPr>
                <w:bCs/>
                <w:i/>
                <w:iCs/>
                <w:sz w:val="20"/>
                <w:szCs w:val="20"/>
              </w:rPr>
              <w:t>de minimis</w:t>
            </w:r>
            <w:r w:rsidRPr="0069704C">
              <w:rPr>
                <w:bCs/>
                <w:sz w:val="20"/>
                <w:szCs w:val="20"/>
              </w:rPr>
              <w:t xml:space="preserve"> - 2023.gada 13.decembra Komisijas regula Nr.2023/2831 par Līguma par Eiropas Savienības darbību 107. un 108.panta piemērošanu de minimis atbalstam, ir nepieciešams grozīt Saistošo noteikumus Nr.39 10. 12., 13., 14., 15. un 16.punktus, ne tikai mainot atsauci uz regulas ierakstu, bet arī attiecībā uz Komisijas regulā Nr.2023/2831 ietverto pēc būtības, līdz ar to ir nepieciešami arī grozījumi attiecībā uz Saistošo noteikumu Nr. 39 17., 22., 30 un 31.punkt</w:t>
            </w:r>
            <w:r w:rsidR="00FB0CA5" w:rsidRPr="0069704C">
              <w:rPr>
                <w:bCs/>
                <w:sz w:val="20"/>
                <w:szCs w:val="20"/>
              </w:rPr>
              <w:t>iem</w:t>
            </w:r>
            <w:r w:rsidRPr="0069704C">
              <w:rPr>
                <w:bCs/>
                <w:sz w:val="20"/>
                <w:szCs w:val="20"/>
              </w:rPr>
              <w:t>.</w:t>
            </w:r>
          </w:p>
          <w:p w14:paraId="3F885D84" w14:textId="39DF5997" w:rsidR="004C6904" w:rsidRPr="00413ACA" w:rsidRDefault="004C6904" w:rsidP="00413ACA">
            <w:pPr>
              <w:pStyle w:val="ListParagraph"/>
              <w:widowControl w:val="0"/>
              <w:numPr>
                <w:ilvl w:val="1"/>
                <w:numId w:val="7"/>
              </w:numPr>
              <w:ind w:left="466" w:right="102" w:hanging="425"/>
              <w:jc w:val="both"/>
              <w:textAlignment w:val="baseline"/>
              <w:rPr>
                <w:sz w:val="20"/>
                <w:szCs w:val="20"/>
              </w:rPr>
            </w:pPr>
            <w:r w:rsidRPr="00413ACA">
              <w:rPr>
                <w:sz w:val="20"/>
                <w:szCs w:val="20"/>
              </w:rPr>
              <w:t>Neizdod saistošos noteikumus “Grozījumi Rēzeknes novada pašvaldības 2022.gada 17.marta saistošajos noteikumos Nr.39 „Par Rēzeknes novada pašvaldības līdzfinansējuma piešķiršanu daudzdzīvokļu dzīvojamo māju energoefektivitātes pasākumu veikšanai</w:t>
            </w:r>
            <w:r w:rsidR="004555E4" w:rsidRPr="00413ACA">
              <w:rPr>
                <w:sz w:val="20"/>
                <w:szCs w:val="20"/>
              </w:rPr>
              <w:t>,</w:t>
            </w:r>
            <w:r w:rsidRPr="00413ACA">
              <w:rPr>
                <w:sz w:val="20"/>
                <w:szCs w:val="20"/>
              </w:rPr>
              <w:t xml:space="preserve"> šo māju īpašumā vai nomā esošo zemesgabalu labiekārtošanai</w:t>
            </w:r>
            <w:r w:rsidR="004555E4" w:rsidRPr="00413ACA">
              <w:rPr>
                <w:bCs/>
                <w:sz w:val="20"/>
                <w:szCs w:val="20"/>
              </w:rPr>
              <w:t xml:space="preserve"> un daudzdzīvokļu dzīvojamo māju atjaunošanas pasākumiem</w:t>
            </w:r>
            <w:r w:rsidRPr="00413ACA">
              <w:rPr>
                <w:sz w:val="20"/>
                <w:szCs w:val="20"/>
              </w:rPr>
              <w:t>””, n</w:t>
            </w:r>
            <w:r w:rsidR="004555E4" w:rsidRPr="00413ACA">
              <w:rPr>
                <w:sz w:val="20"/>
                <w:szCs w:val="20"/>
              </w:rPr>
              <w:t>av</w:t>
            </w:r>
            <w:r w:rsidRPr="00413ACA">
              <w:rPr>
                <w:sz w:val="20"/>
                <w:szCs w:val="20"/>
              </w:rPr>
              <w:t xml:space="preserve"> iespējams </w:t>
            </w:r>
            <w:r w:rsidR="004555E4" w:rsidRPr="00413ACA">
              <w:rPr>
                <w:sz w:val="20"/>
                <w:szCs w:val="20"/>
              </w:rPr>
              <w:t>redakcionāli precizēt Saistošos noteikumus Nr.39</w:t>
            </w:r>
            <w:r w:rsidRPr="00413ACA">
              <w:rPr>
                <w:sz w:val="20"/>
                <w:szCs w:val="20"/>
              </w:rPr>
              <w:t>.</w:t>
            </w:r>
          </w:p>
        </w:tc>
      </w:tr>
      <w:tr w:rsidR="004C6904" w14:paraId="7D815D27" w14:textId="77777777" w:rsidTr="00FD6450">
        <w:trPr>
          <w:cantSplit/>
        </w:trPr>
        <w:tc>
          <w:tcPr>
            <w:tcW w:w="2515" w:type="dxa"/>
            <w:tcBorders>
              <w:top w:val="single" w:sz="4" w:space="0" w:color="auto"/>
              <w:left w:val="single" w:sz="4" w:space="0" w:color="auto"/>
              <w:bottom w:val="single" w:sz="4" w:space="0" w:color="auto"/>
              <w:right w:val="single" w:sz="4" w:space="0" w:color="auto"/>
            </w:tcBorders>
          </w:tcPr>
          <w:p w14:paraId="764B171B" w14:textId="77777777" w:rsidR="004C6904" w:rsidRPr="00BC195C" w:rsidRDefault="004C6904" w:rsidP="004C6904">
            <w:pPr>
              <w:pStyle w:val="naiskr"/>
              <w:spacing w:before="120" w:after="120"/>
              <w:rPr>
                <w:bCs/>
                <w:sz w:val="20"/>
                <w:szCs w:val="20"/>
              </w:rPr>
            </w:pPr>
            <w:r w:rsidRPr="00BC195C">
              <w:rPr>
                <w:bCs/>
                <w:sz w:val="20"/>
                <w:szCs w:val="20"/>
              </w:rPr>
              <w:lastRenderedPageBreak/>
              <w:t>2. Fiskālā ietekme uz pašvaldības budžetu</w:t>
            </w:r>
          </w:p>
          <w:p w14:paraId="4D30D230" w14:textId="77777777" w:rsidR="004C6904" w:rsidRPr="00BC195C" w:rsidRDefault="004C6904" w:rsidP="004C6904">
            <w:pPr>
              <w:pStyle w:val="naiskr"/>
              <w:spacing w:before="120" w:after="120"/>
              <w:rPr>
                <w:bCs/>
                <w:sz w:val="20"/>
                <w:szCs w:val="20"/>
              </w:rPr>
            </w:pPr>
          </w:p>
        </w:tc>
        <w:tc>
          <w:tcPr>
            <w:tcW w:w="7201" w:type="dxa"/>
            <w:tcBorders>
              <w:top w:val="single" w:sz="4" w:space="0" w:color="auto"/>
              <w:left w:val="single" w:sz="4" w:space="0" w:color="auto"/>
              <w:bottom w:val="single" w:sz="4" w:space="0" w:color="auto"/>
              <w:right w:val="single" w:sz="4" w:space="0" w:color="auto"/>
            </w:tcBorders>
            <w:vAlign w:val="center"/>
          </w:tcPr>
          <w:p w14:paraId="6FFCC698" w14:textId="13BF2718" w:rsidR="004C6904" w:rsidRPr="00BC195C" w:rsidRDefault="004C6904" w:rsidP="004C6904">
            <w:pPr>
              <w:ind w:left="459" w:hanging="459"/>
              <w:jc w:val="both"/>
              <w:rPr>
                <w:sz w:val="20"/>
                <w:szCs w:val="20"/>
              </w:rPr>
            </w:pPr>
            <w:r w:rsidRPr="00BC195C">
              <w:rPr>
                <w:bCs/>
                <w:sz w:val="20"/>
                <w:szCs w:val="20"/>
              </w:rPr>
              <w:t xml:space="preserve">2.1. </w:t>
            </w:r>
            <w:r w:rsidR="00050D10">
              <w:rPr>
                <w:bCs/>
                <w:sz w:val="20"/>
                <w:szCs w:val="20"/>
              </w:rPr>
              <w:t>S</w:t>
            </w:r>
            <w:r w:rsidRPr="00BC195C">
              <w:rPr>
                <w:bCs/>
                <w:sz w:val="20"/>
                <w:szCs w:val="20"/>
              </w:rPr>
              <w:t>aistošo noteikumu „</w:t>
            </w:r>
            <w:r w:rsidRPr="00BC195C">
              <w:rPr>
                <w:sz w:val="20"/>
                <w:szCs w:val="20"/>
              </w:rPr>
              <w:t>Grozījumi Rēzeknes novada pašvaldības 2022.gada 17.marta saistošajos noteikumos Nr.39 „</w:t>
            </w:r>
            <w:r w:rsidR="00050D10" w:rsidRPr="00BC195C">
              <w:rPr>
                <w:sz w:val="20"/>
                <w:szCs w:val="20"/>
              </w:rPr>
              <w:t>Par Rēzeknes novada pašvaldības līdzfinansējuma piešķiršanu daudzdzīvokļu dzīvojamo māju energoefektivitātes pasākumu veikšanai</w:t>
            </w:r>
            <w:r w:rsidR="00050D10">
              <w:rPr>
                <w:sz w:val="20"/>
                <w:szCs w:val="20"/>
              </w:rPr>
              <w:t>,</w:t>
            </w:r>
            <w:r w:rsidR="00050D10" w:rsidRPr="00BC195C">
              <w:rPr>
                <w:sz w:val="20"/>
                <w:szCs w:val="20"/>
              </w:rPr>
              <w:t xml:space="preserve"> šo māju īpašumā vai nomā esošo zemesgabalu labiekārtošanai</w:t>
            </w:r>
            <w:r w:rsidR="00050D10" w:rsidRPr="004555E4">
              <w:rPr>
                <w:bCs/>
                <w:sz w:val="20"/>
                <w:szCs w:val="20"/>
              </w:rPr>
              <w:t xml:space="preserve"> un daudzdzīvokļu dzīvojamo māju atjaunošanas pasākumiem</w:t>
            </w:r>
            <w:r w:rsidR="00050D10">
              <w:rPr>
                <w:bCs/>
                <w:sz w:val="20"/>
                <w:szCs w:val="20"/>
              </w:rPr>
              <w:t xml:space="preserve">”” </w:t>
            </w:r>
            <w:r w:rsidR="00050D10" w:rsidRPr="00050D10">
              <w:rPr>
                <w:bCs/>
                <w:sz w:val="20"/>
                <w:szCs w:val="20"/>
              </w:rPr>
              <w:t>īstenošanas fiskālās ietekmes prognoze uz pašvaldības budžetu:</w:t>
            </w:r>
            <w:r w:rsidRPr="00BC195C">
              <w:rPr>
                <w:sz w:val="20"/>
                <w:szCs w:val="20"/>
              </w:rPr>
              <w:t xml:space="preserve"> </w:t>
            </w:r>
          </w:p>
          <w:p w14:paraId="71E042B4" w14:textId="77777777" w:rsidR="00050D10" w:rsidRPr="00050D10" w:rsidRDefault="00050D10" w:rsidP="00050D10">
            <w:pPr>
              <w:ind w:left="459"/>
              <w:jc w:val="both"/>
              <w:rPr>
                <w:sz w:val="20"/>
                <w:szCs w:val="20"/>
              </w:rPr>
            </w:pPr>
            <w:r w:rsidRPr="00050D10">
              <w:rPr>
                <w:sz w:val="20"/>
                <w:szCs w:val="20"/>
              </w:rPr>
              <w:t>2.1.1. nav attiecināms uz budžeta ieņēmumu daļu;</w:t>
            </w:r>
          </w:p>
          <w:p w14:paraId="436BE74E" w14:textId="77777777" w:rsidR="00050D10" w:rsidRPr="00050D10" w:rsidRDefault="00050D10" w:rsidP="00050D10">
            <w:pPr>
              <w:ind w:left="459"/>
              <w:jc w:val="both"/>
              <w:rPr>
                <w:sz w:val="20"/>
                <w:szCs w:val="20"/>
              </w:rPr>
            </w:pPr>
            <w:r w:rsidRPr="00050D10">
              <w:rPr>
                <w:sz w:val="20"/>
                <w:szCs w:val="20"/>
              </w:rPr>
              <w:t>2.1.2. nav attiecināms uz izdevumu daļu;</w:t>
            </w:r>
          </w:p>
          <w:p w14:paraId="1D95752D" w14:textId="77777777" w:rsidR="00050D10" w:rsidRPr="00050D10" w:rsidRDefault="00050D10" w:rsidP="00050D10">
            <w:pPr>
              <w:ind w:left="459"/>
              <w:jc w:val="both"/>
              <w:rPr>
                <w:sz w:val="20"/>
                <w:szCs w:val="20"/>
              </w:rPr>
            </w:pPr>
            <w:r w:rsidRPr="00050D10">
              <w:rPr>
                <w:sz w:val="20"/>
                <w:szCs w:val="20"/>
              </w:rPr>
              <w:t>2.1.3.nav paredzēta ietekme uz citām pozīcijām budžeta ieņēmumu vai izdevumu daļā.</w:t>
            </w:r>
          </w:p>
          <w:p w14:paraId="2D0D97B2" w14:textId="1E1A9C26" w:rsidR="004C6904" w:rsidRPr="00BC195C" w:rsidRDefault="004C6904" w:rsidP="004C6904">
            <w:pPr>
              <w:pStyle w:val="naisnod"/>
              <w:spacing w:before="0" w:after="0"/>
              <w:ind w:left="459" w:hanging="425"/>
              <w:jc w:val="both"/>
              <w:rPr>
                <w:b w:val="0"/>
                <w:bCs w:val="0"/>
                <w:sz w:val="20"/>
                <w:szCs w:val="20"/>
                <w:lang w:eastAsia="en-US"/>
              </w:rPr>
            </w:pPr>
            <w:r w:rsidRPr="00BC195C">
              <w:rPr>
                <w:b w:val="0"/>
                <w:bCs w:val="0"/>
                <w:sz w:val="20"/>
                <w:szCs w:val="20"/>
              </w:rPr>
              <w:t>2.2.</w:t>
            </w:r>
            <w:r w:rsidRPr="00BC195C">
              <w:rPr>
                <w:bCs w:val="0"/>
                <w:sz w:val="20"/>
                <w:szCs w:val="20"/>
              </w:rPr>
              <w:t xml:space="preserve"> </w:t>
            </w:r>
            <w:r w:rsidRPr="00BC195C">
              <w:rPr>
                <w:b w:val="0"/>
                <w:sz w:val="20"/>
                <w:szCs w:val="20"/>
              </w:rPr>
              <w:t>Lai nodrošinātu saistošo noteikumu izpildi nav nepieciešams veidot jaunas institūcijas vai radīt jaunas darba vietas, līdz ar to nav nepieciešami papildus resursi.</w:t>
            </w:r>
          </w:p>
        </w:tc>
      </w:tr>
      <w:tr w:rsidR="004C6904" w14:paraId="2D5F049D" w14:textId="77777777" w:rsidTr="00FD6450">
        <w:trPr>
          <w:cantSplit/>
        </w:trPr>
        <w:tc>
          <w:tcPr>
            <w:tcW w:w="2515" w:type="dxa"/>
            <w:tcBorders>
              <w:top w:val="single" w:sz="4" w:space="0" w:color="auto"/>
              <w:left w:val="single" w:sz="4" w:space="0" w:color="auto"/>
              <w:bottom w:val="single" w:sz="4" w:space="0" w:color="auto"/>
              <w:right w:val="single" w:sz="4" w:space="0" w:color="auto"/>
            </w:tcBorders>
          </w:tcPr>
          <w:p w14:paraId="66DFAB09" w14:textId="5CCB4FAA" w:rsidR="004C6904" w:rsidRPr="00BC195C" w:rsidRDefault="004C6904" w:rsidP="004C6904">
            <w:pPr>
              <w:pStyle w:val="naisf"/>
              <w:spacing w:before="120" w:after="120"/>
              <w:ind w:firstLine="0"/>
              <w:jc w:val="left"/>
              <w:rPr>
                <w:bCs/>
                <w:sz w:val="20"/>
                <w:szCs w:val="20"/>
                <w:lang w:val="lv-LV"/>
              </w:rPr>
            </w:pPr>
            <w:r w:rsidRPr="00BC195C">
              <w:rPr>
                <w:bCs/>
                <w:sz w:val="20"/>
                <w:szCs w:val="20"/>
                <w:lang w:val="lv-LV"/>
              </w:rPr>
              <w:t>3. Sociālā ietekme, ietekme uz vidi, iedzīvotāju veselību, uzņēmējdarbības vidi pašvaldības teritorijā, kā arī plānotā regulējuma ietekme uz konkurenci</w:t>
            </w:r>
          </w:p>
        </w:tc>
        <w:tc>
          <w:tcPr>
            <w:tcW w:w="7201" w:type="dxa"/>
            <w:tcBorders>
              <w:top w:val="single" w:sz="4" w:space="0" w:color="auto"/>
              <w:left w:val="single" w:sz="4" w:space="0" w:color="auto"/>
              <w:bottom w:val="single" w:sz="4" w:space="0" w:color="auto"/>
              <w:right w:val="single" w:sz="4" w:space="0" w:color="auto"/>
            </w:tcBorders>
            <w:vAlign w:val="center"/>
          </w:tcPr>
          <w:p w14:paraId="11414BA2" w14:textId="68167C96" w:rsidR="004C6904" w:rsidRPr="00BC195C" w:rsidRDefault="004C6904" w:rsidP="004C6904">
            <w:pPr>
              <w:pStyle w:val="naisnod"/>
              <w:spacing w:before="0" w:after="0"/>
              <w:ind w:left="459" w:hanging="425"/>
              <w:jc w:val="both"/>
              <w:rPr>
                <w:b w:val="0"/>
                <w:bCs w:val="0"/>
                <w:sz w:val="20"/>
                <w:szCs w:val="20"/>
                <w:lang w:eastAsia="en-US"/>
              </w:rPr>
            </w:pPr>
            <w:r w:rsidRPr="00BC195C">
              <w:rPr>
                <w:b w:val="0"/>
                <w:bCs w:val="0"/>
                <w:sz w:val="20"/>
                <w:szCs w:val="20"/>
                <w:lang w:eastAsia="en-US"/>
              </w:rPr>
              <w:t>3.1.</w:t>
            </w:r>
            <w:r w:rsidRPr="00BC195C">
              <w:rPr>
                <w:b w:val="0"/>
                <w:bCs w:val="0"/>
                <w:sz w:val="20"/>
                <w:szCs w:val="20"/>
                <w:lang w:eastAsia="en-US"/>
              </w:rPr>
              <w:tab/>
              <w:t>Sociālā ietekme - saistošo noteikumu „Grozījumi Rēzeknes novada pašvaldības 2022.gada 17.marta saistošajos noteikumos Nr.39 „</w:t>
            </w:r>
            <w:r w:rsidR="00050D10" w:rsidRPr="00050D10">
              <w:rPr>
                <w:b w:val="0"/>
                <w:bCs w:val="0"/>
                <w:sz w:val="20"/>
                <w:szCs w:val="20"/>
                <w:lang w:eastAsia="en-US"/>
              </w:rPr>
              <w:t>Par Rēzeknes novada pašvaldības līdzfinansējuma piešķiršanu daudzdzīvokļu dzīvojamo māju energoefektivitātes pasākumu veikšanai, šo māju īpašumā vai nomā esošo zemesgabalu labiekārtošanai un daudzdzīvokļu dzīvojamo māju atjaunošanas pasākumiem</w:t>
            </w:r>
            <w:r w:rsidRPr="00BC195C">
              <w:rPr>
                <w:b w:val="0"/>
                <w:bCs w:val="0"/>
                <w:sz w:val="20"/>
                <w:szCs w:val="20"/>
                <w:lang w:eastAsia="en-US"/>
              </w:rPr>
              <w:t>”” ietekmē sabiedrību kopumā, jo tiks uzlabots daudzdzīvokļu dzīvojamo māju tehniskais stāvoklis.</w:t>
            </w:r>
          </w:p>
          <w:p w14:paraId="10FF3BBA" w14:textId="08924ECF" w:rsidR="004C6904" w:rsidRPr="00BC195C" w:rsidRDefault="004C6904" w:rsidP="004C6904">
            <w:pPr>
              <w:pStyle w:val="naisnod"/>
              <w:spacing w:before="0" w:after="0"/>
              <w:ind w:left="459" w:hanging="425"/>
              <w:jc w:val="both"/>
              <w:rPr>
                <w:b w:val="0"/>
                <w:bCs w:val="0"/>
                <w:sz w:val="20"/>
                <w:szCs w:val="20"/>
                <w:lang w:eastAsia="en-US"/>
              </w:rPr>
            </w:pPr>
            <w:r w:rsidRPr="00BC195C">
              <w:rPr>
                <w:b w:val="0"/>
                <w:bCs w:val="0"/>
                <w:sz w:val="20"/>
                <w:szCs w:val="20"/>
                <w:lang w:eastAsia="en-US"/>
              </w:rPr>
              <w:t>3.2.</w:t>
            </w:r>
            <w:r w:rsidRPr="00BC195C">
              <w:rPr>
                <w:b w:val="0"/>
                <w:bCs w:val="0"/>
                <w:sz w:val="20"/>
                <w:szCs w:val="20"/>
                <w:lang w:eastAsia="en-US"/>
              </w:rPr>
              <w:tab/>
              <w:t>Ietekme uz vidi – ar saistošo noteikumu „Grozījumi Rēzeknes novada pašvaldības 2022.gada 17.marta saistošajos noteikumos Nr.39 „</w:t>
            </w:r>
            <w:r w:rsidR="00050D10" w:rsidRPr="00050D10">
              <w:rPr>
                <w:b w:val="0"/>
                <w:bCs w:val="0"/>
                <w:sz w:val="20"/>
                <w:szCs w:val="20"/>
                <w:lang w:eastAsia="en-US"/>
              </w:rPr>
              <w:t>Par Rēzeknes novada pašvaldības līdzfinansējuma piešķiršanu daudzdzīvokļu dzīvojamo māju energoefektivitātes pasākumu veikšanai, šo māju īpašumā vai nomā esošo zemesgabalu labiekārtošanai un daudzdzīvokļu dzīvojamo māju atjaunošanas pasākumiem</w:t>
            </w:r>
            <w:r w:rsidRPr="00BC195C">
              <w:rPr>
                <w:b w:val="0"/>
                <w:bCs w:val="0"/>
                <w:sz w:val="20"/>
                <w:szCs w:val="20"/>
                <w:lang w:eastAsia="en-US"/>
              </w:rPr>
              <w:t>”” īstenošanu tiek izraisītas tiešas pārmaiņas vidē, uzlabojot daudzdzīvokļu dzīvojamo māju tehnisko stāvokli</w:t>
            </w:r>
            <w:r w:rsidRPr="00BC195C">
              <w:rPr>
                <w:b w:val="0"/>
                <w:sz w:val="20"/>
                <w:szCs w:val="20"/>
              </w:rPr>
              <w:t>,</w:t>
            </w:r>
            <w:r w:rsidRPr="00BC195C">
              <w:rPr>
                <w:sz w:val="20"/>
                <w:szCs w:val="20"/>
              </w:rPr>
              <w:t xml:space="preserve"> </w:t>
            </w:r>
            <w:r w:rsidRPr="00BC195C">
              <w:rPr>
                <w:b w:val="0"/>
                <w:sz w:val="20"/>
                <w:szCs w:val="20"/>
              </w:rPr>
              <w:t>kas normatīvajos aktos noteiktajā kārtībā atzīts par bīstamu</w:t>
            </w:r>
            <w:r w:rsidRPr="00BC195C">
              <w:rPr>
                <w:b w:val="0"/>
                <w:bCs w:val="0"/>
                <w:sz w:val="20"/>
                <w:szCs w:val="20"/>
                <w:lang w:eastAsia="en-US"/>
              </w:rPr>
              <w:t xml:space="preserve">, tiek radīta droša vide. </w:t>
            </w:r>
          </w:p>
          <w:p w14:paraId="2AA3190D" w14:textId="655BDAC1" w:rsidR="004C6904" w:rsidRPr="00BC195C" w:rsidRDefault="004C6904" w:rsidP="004C6904">
            <w:pPr>
              <w:pStyle w:val="naisnod"/>
              <w:spacing w:before="0" w:after="0"/>
              <w:ind w:left="459" w:hanging="459"/>
              <w:jc w:val="both"/>
              <w:rPr>
                <w:b w:val="0"/>
                <w:bCs w:val="0"/>
                <w:sz w:val="20"/>
                <w:szCs w:val="20"/>
                <w:lang w:eastAsia="en-US"/>
              </w:rPr>
            </w:pPr>
            <w:r w:rsidRPr="00BC195C">
              <w:rPr>
                <w:b w:val="0"/>
                <w:bCs w:val="0"/>
                <w:sz w:val="20"/>
                <w:szCs w:val="20"/>
                <w:lang w:eastAsia="en-US"/>
              </w:rPr>
              <w:t>3.3.</w:t>
            </w:r>
            <w:r w:rsidRPr="00BC195C">
              <w:rPr>
                <w:b w:val="0"/>
                <w:bCs w:val="0"/>
                <w:sz w:val="20"/>
                <w:szCs w:val="20"/>
                <w:lang w:eastAsia="en-US"/>
              </w:rPr>
              <w:tab/>
              <w:t>Ietekme uz iedzīvotāju veselību - saistošo noteikumu „Grozījumi Rēzeknes novada pašvaldības 2022.gada 17.marta saistošajos noteikumos Nr.39 „</w:t>
            </w:r>
            <w:r w:rsidR="00050D10" w:rsidRPr="00050D10">
              <w:rPr>
                <w:b w:val="0"/>
                <w:bCs w:val="0"/>
                <w:sz w:val="20"/>
                <w:szCs w:val="20"/>
                <w:lang w:eastAsia="en-US"/>
              </w:rPr>
              <w:t>Par Rēzeknes novada pašvaldības līdzfinansējuma piešķiršanu daudzdzīvokļu dzīvojamo māju energoefektivitātes pasākumu veikšanai, šo māju īpašumā vai nomā esošo zemesgabalu labiekārtošanai un daudzdzīvokļu dzīvojamo māju atjaunošanas pasākumiem</w:t>
            </w:r>
            <w:r w:rsidRPr="00BC195C">
              <w:rPr>
                <w:b w:val="0"/>
                <w:bCs w:val="0"/>
                <w:sz w:val="20"/>
                <w:szCs w:val="20"/>
                <w:lang w:eastAsia="en-US"/>
              </w:rPr>
              <w:t>”” īstenošana netieši ietekmēs cilvēku veselību, jo veicot daudzdzīvokļu dzīvojamo māju atjaunošanu tiks uzlabots to tehniskais stāvoklis un  tiks novērsta</w:t>
            </w:r>
            <w:r w:rsidRPr="00BC195C">
              <w:rPr>
                <w:sz w:val="20"/>
                <w:szCs w:val="20"/>
              </w:rPr>
              <w:t xml:space="preserve"> </w:t>
            </w:r>
            <w:r w:rsidRPr="00BC195C">
              <w:rPr>
                <w:b w:val="0"/>
                <w:sz w:val="20"/>
                <w:szCs w:val="20"/>
              </w:rPr>
              <w:t>bīstamība cilvēku dzīvībai vai veselībai</w:t>
            </w:r>
            <w:r w:rsidRPr="00BC195C">
              <w:rPr>
                <w:b w:val="0"/>
                <w:bCs w:val="0"/>
                <w:sz w:val="20"/>
                <w:szCs w:val="20"/>
                <w:lang w:eastAsia="en-US"/>
              </w:rPr>
              <w:t xml:space="preserve">. </w:t>
            </w:r>
          </w:p>
          <w:p w14:paraId="4E04D054" w14:textId="7513D140" w:rsidR="004C6904" w:rsidRPr="00BC195C" w:rsidRDefault="004C6904" w:rsidP="004C6904">
            <w:pPr>
              <w:pStyle w:val="naisnod"/>
              <w:spacing w:before="0" w:after="0"/>
              <w:ind w:left="459" w:hanging="425"/>
              <w:jc w:val="both"/>
              <w:rPr>
                <w:b w:val="0"/>
                <w:bCs w:val="0"/>
                <w:sz w:val="20"/>
                <w:szCs w:val="20"/>
                <w:lang w:eastAsia="en-US"/>
              </w:rPr>
            </w:pPr>
            <w:r w:rsidRPr="00BC195C">
              <w:rPr>
                <w:b w:val="0"/>
                <w:bCs w:val="0"/>
                <w:sz w:val="20"/>
                <w:szCs w:val="20"/>
                <w:lang w:eastAsia="en-US"/>
              </w:rPr>
              <w:t>3.4.</w:t>
            </w:r>
            <w:r w:rsidRPr="00BC195C">
              <w:rPr>
                <w:b w:val="0"/>
                <w:bCs w:val="0"/>
                <w:sz w:val="20"/>
                <w:szCs w:val="20"/>
                <w:lang w:eastAsia="en-US"/>
              </w:rPr>
              <w:tab/>
              <w:t>Ietekme uz uzņēmējdarbības vidi pašvaldības teritorijā - uzņēmējdarbības vidi pašvaldības teritorijā saistošie noteikumi „Grozījumi Rēzeknes novada pašvaldības 2022.gada 17.marta saistošajos noteikumos Nr.39 „</w:t>
            </w:r>
            <w:r w:rsidR="00050D10" w:rsidRPr="00050D10">
              <w:rPr>
                <w:b w:val="0"/>
                <w:bCs w:val="0"/>
                <w:sz w:val="20"/>
                <w:szCs w:val="20"/>
                <w:lang w:eastAsia="en-US"/>
              </w:rPr>
              <w:t>Par Rēzeknes novada pašvaldības līdzfinansējuma piešķiršanu daudzdzīvokļu dzīvojamo māju energoefektivitātes pasākumu veikšanai, šo māju īpašumā vai nomā esošo zemesgabalu labiekārtošanai un daudzdzīvokļu dzīvojamo māju atjaunošanas pasākumiem</w:t>
            </w:r>
            <w:r w:rsidRPr="00BC195C">
              <w:rPr>
                <w:b w:val="0"/>
                <w:bCs w:val="0"/>
                <w:sz w:val="20"/>
                <w:szCs w:val="20"/>
                <w:lang w:eastAsia="en-US"/>
              </w:rPr>
              <w:t>”” neskars.</w:t>
            </w:r>
          </w:p>
          <w:p w14:paraId="07E9BF5D" w14:textId="0878313D" w:rsidR="004C6904" w:rsidRPr="00BC195C" w:rsidRDefault="004C6904" w:rsidP="004C6904">
            <w:pPr>
              <w:pStyle w:val="naisnod"/>
              <w:spacing w:before="0" w:after="0"/>
              <w:ind w:left="459" w:hanging="425"/>
              <w:jc w:val="both"/>
              <w:rPr>
                <w:b w:val="0"/>
                <w:bCs w:val="0"/>
                <w:sz w:val="20"/>
                <w:szCs w:val="20"/>
              </w:rPr>
            </w:pPr>
            <w:r w:rsidRPr="00BC195C">
              <w:rPr>
                <w:b w:val="0"/>
                <w:bCs w:val="0"/>
                <w:sz w:val="20"/>
                <w:szCs w:val="20"/>
                <w:lang w:eastAsia="en-US"/>
              </w:rPr>
              <w:t>3.5.</w:t>
            </w:r>
            <w:r w:rsidRPr="00BC195C">
              <w:rPr>
                <w:b w:val="0"/>
                <w:bCs w:val="0"/>
                <w:sz w:val="20"/>
                <w:szCs w:val="20"/>
                <w:lang w:eastAsia="en-US"/>
              </w:rPr>
              <w:tab/>
              <w:t>Ietekme uz konkurenci - saistošie noteikumi „Grozījumi Rēzeknes novada pašvaldības 2022.gada 17.marta saistošajos noteikumos Nr.39 „</w:t>
            </w:r>
            <w:r w:rsidR="00050D10" w:rsidRPr="00050D10">
              <w:rPr>
                <w:b w:val="0"/>
                <w:bCs w:val="0"/>
                <w:sz w:val="20"/>
                <w:szCs w:val="20"/>
                <w:lang w:eastAsia="en-US"/>
              </w:rPr>
              <w:t>Par Rēzeknes novada pašvaldības līdzfinansējuma piešķiršanu daudzdzīvokļu dzīvojamo māju energoefektivitātes pasākumu veikšanai, šo māju īpašumā vai nomā esošo zemesgabalu labiekārtošanai un daudzdzīvokļu dzīvojamo māju atjaunošanas pasākumiem</w:t>
            </w:r>
            <w:r w:rsidRPr="00BC195C">
              <w:rPr>
                <w:b w:val="0"/>
                <w:bCs w:val="0"/>
                <w:sz w:val="20"/>
                <w:szCs w:val="20"/>
                <w:lang w:eastAsia="en-US"/>
              </w:rPr>
              <w:t>”” īstenošanu neatstās ietekmi uz konkurenci.</w:t>
            </w:r>
          </w:p>
        </w:tc>
      </w:tr>
      <w:tr w:rsidR="004C6904" w14:paraId="067ADE48" w14:textId="77777777" w:rsidTr="00FD6450">
        <w:trPr>
          <w:cantSplit/>
        </w:trPr>
        <w:tc>
          <w:tcPr>
            <w:tcW w:w="2515" w:type="dxa"/>
            <w:tcBorders>
              <w:top w:val="single" w:sz="4" w:space="0" w:color="auto"/>
              <w:left w:val="single" w:sz="4" w:space="0" w:color="auto"/>
              <w:bottom w:val="single" w:sz="4" w:space="0" w:color="auto"/>
              <w:right w:val="single" w:sz="4" w:space="0" w:color="auto"/>
            </w:tcBorders>
          </w:tcPr>
          <w:p w14:paraId="5F9E14C6" w14:textId="77777777" w:rsidR="004C6904" w:rsidRPr="00BC195C" w:rsidRDefault="004C6904" w:rsidP="004C6904">
            <w:pPr>
              <w:spacing w:before="120" w:after="120"/>
              <w:rPr>
                <w:bCs/>
                <w:sz w:val="20"/>
                <w:szCs w:val="20"/>
              </w:rPr>
            </w:pPr>
            <w:r w:rsidRPr="00BC195C">
              <w:rPr>
                <w:bCs/>
                <w:sz w:val="20"/>
                <w:szCs w:val="20"/>
              </w:rPr>
              <w:t>4. Ietekme uz administratīvajām procedūrām un to izmaksām</w:t>
            </w:r>
          </w:p>
          <w:p w14:paraId="3140CCDC" w14:textId="4E8FE664" w:rsidR="004C6904" w:rsidRPr="00BC195C" w:rsidRDefault="004C6904" w:rsidP="004C6904">
            <w:pPr>
              <w:tabs>
                <w:tab w:val="left" w:pos="639"/>
              </w:tabs>
              <w:rPr>
                <w:sz w:val="20"/>
                <w:szCs w:val="20"/>
              </w:rPr>
            </w:pPr>
            <w:r w:rsidRPr="00BC195C">
              <w:rPr>
                <w:sz w:val="20"/>
                <w:szCs w:val="20"/>
              </w:rPr>
              <w:tab/>
            </w:r>
          </w:p>
        </w:tc>
        <w:tc>
          <w:tcPr>
            <w:tcW w:w="7201" w:type="dxa"/>
            <w:tcBorders>
              <w:top w:val="single" w:sz="4" w:space="0" w:color="auto"/>
              <w:left w:val="single" w:sz="4" w:space="0" w:color="auto"/>
              <w:bottom w:val="single" w:sz="4" w:space="0" w:color="auto"/>
              <w:right w:val="single" w:sz="4" w:space="0" w:color="auto"/>
            </w:tcBorders>
            <w:vAlign w:val="center"/>
          </w:tcPr>
          <w:p w14:paraId="1CBD6BC9" w14:textId="75EE366E" w:rsidR="004C6904" w:rsidRPr="00BC195C" w:rsidRDefault="004C6904" w:rsidP="004C6904">
            <w:pPr>
              <w:ind w:left="459" w:hanging="459"/>
              <w:jc w:val="both"/>
              <w:rPr>
                <w:sz w:val="20"/>
                <w:szCs w:val="20"/>
                <w:lang w:eastAsia="en-US"/>
              </w:rPr>
            </w:pPr>
            <w:r w:rsidRPr="00BC195C">
              <w:rPr>
                <w:sz w:val="20"/>
                <w:szCs w:val="20"/>
                <w:lang w:eastAsia="en-US"/>
              </w:rPr>
              <w:t>4.1. Saistošo noteikumu „Grozījumi Rēzeknes novada pašvaldības 2022.gada 17.marta saistošajos noteikumos Nr.39 „</w:t>
            </w:r>
            <w:r w:rsidR="004555E4" w:rsidRPr="00BC195C">
              <w:rPr>
                <w:sz w:val="20"/>
                <w:szCs w:val="20"/>
              </w:rPr>
              <w:t>Par Rēzeknes novada pašvaldības līdzfinansējuma piešķiršanu daudzdzīvokļu dzīvojamo māju energoefektivitātes pasākumu veikšanai</w:t>
            </w:r>
            <w:r w:rsidR="004555E4">
              <w:rPr>
                <w:sz w:val="20"/>
                <w:szCs w:val="20"/>
              </w:rPr>
              <w:t>,</w:t>
            </w:r>
            <w:r w:rsidR="004555E4" w:rsidRPr="00BC195C">
              <w:rPr>
                <w:sz w:val="20"/>
                <w:szCs w:val="20"/>
              </w:rPr>
              <w:t xml:space="preserve"> šo māju īpašumā vai nomā esošo zemesgabalu labiekārtošanai</w:t>
            </w:r>
            <w:r w:rsidR="004555E4" w:rsidRPr="004555E4">
              <w:rPr>
                <w:bCs/>
                <w:sz w:val="20"/>
                <w:szCs w:val="20"/>
              </w:rPr>
              <w:t xml:space="preserve"> un daudzdzīvokļu dzīvojamo māju atjaunošanas pasākumiem</w:t>
            </w:r>
            <w:r w:rsidRPr="00BC195C">
              <w:rPr>
                <w:sz w:val="20"/>
                <w:szCs w:val="20"/>
                <w:lang w:eastAsia="en-US"/>
              </w:rPr>
              <w:t>”” piemērošanas jautājumos privātpersona var vērsties Rēzekne novada pašvaldības iestādē – Centrālajā pārvaldē – Atbrīvošanas alejā 95A, Rēzeknē vai jebkurā no Rēzeknes novada pašvaldības iestādēm - Dricānu apvienības pārvaldē,  Kaunatas apvienības pārvaldē, Maltas apvienības pārvaldē, Nautrēnu apvienības pārvaldē, Viļānu apvienības pārvaldē un to teritoriālajās vienībās.</w:t>
            </w:r>
          </w:p>
          <w:p w14:paraId="7A96CE72" w14:textId="29DCC1E8" w:rsidR="004C6904" w:rsidRPr="00BC195C" w:rsidRDefault="004C6904" w:rsidP="004C6904">
            <w:pPr>
              <w:ind w:left="459" w:hanging="459"/>
              <w:jc w:val="both"/>
              <w:rPr>
                <w:sz w:val="20"/>
                <w:szCs w:val="20"/>
                <w:lang w:eastAsia="en-US"/>
              </w:rPr>
            </w:pPr>
            <w:r w:rsidRPr="00BC195C">
              <w:rPr>
                <w:sz w:val="20"/>
                <w:szCs w:val="20"/>
                <w:lang w:eastAsia="en-US"/>
              </w:rPr>
              <w:t>4.3. Administratīvo procedūru izmaksas nav paredzētas.</w:t>
            </w:r>
          </w:p>
        </w:tc>
      </w:tr>
      <w:tr w:rsidR="004C6904" w14:paraId="59B1CD36" w14:textId="77777777" w:rsidTr="00FD6450">
        <w:trPr>
          <w:cantSplit/>
        </w:trPr>
        <w:tc>
          <w:tcPr>
            <w:tcW w:w="2515" w:type="dxa"/>
            <w:tcBorders>
              <w:top w:val="single" w:sz="4" w:space="0" w:color="auto"/>
              <w:left w:val="single" w:sz="4" w:space="0" w:color="auto"/>
              <w:bottom w:val="single" w:sz="4" w:space="0" w:color="auto"/>
              <w:right w:val="single" w:sz="4" w:space="0" w:color="auto"/>
            </w:tcBorders>
          </w:tcPr>
          <w:p w14:paraId="32AE352B" w14:textId="63DD7ECA" w:rsidR="004C6904" w:rsidRPr="00BC195C" w:rsidRDefault="004C6904" w:rsidP="004C6904">
            <w:pPr>
              <w:spacing w:before="120" w:after="120"/>
              <w:rPr>
                <w:bCs/>
                <w:sz w:val="20"/>
                <w:szCs w:val="20"/>
              </w:rPr>
            </w:pPr>
            <w:r w:rsidRPr="00BC195C">
              <w:rPr>
                <w:bCs/>
                <w:sz w:val="20"/>
                <w:szCs w:val="20"/>
              </w:rPr>
              <w:lastRenderedPageBreak/>
              <w:t>5. Ietekme uz pašvaldības funkcijām un cilvēkresursiem</w:t>
            </w:r>
          </w:p>
        </w:tc>
        <w:tc>
          <w:tcPr>
            <w:tcW w:w="7201" w:type="dxa"/>
            <w:tcBorders>
              <w:top w:val="single" w:sz="4" w:space="0" w:color="auto"/>
              <w:left w:val="single" w:sz="4" w:space="0" w:color="auto"/>
              <w:bottom w:val="single" w:sz="4" w:space="0" w:color="auto"/>
              <w:right w:val="single" w:sz="4" w:space="0" w:color="auto"/>
            </w:tcBorders>
            <w:vAlign w:val="center"/>
          </w:tcPr>
          <w:p w14:paraId="5625A55A" w14:textId="29B1B121" w:rsidR="004C6904" w:rsidRPr="00BC195C" w:rsidRDefault="004C6904" w:rsidP="004555E4">
            <w:pPr>
              <w:pStyle w:val="naisnod"/>
              <w:spacing w:before="0" w:after="0"/>
              <w:ind w:left="459" w:hanging="459"/>
              <w:jc w:val="both"/>
              <w:rPr>
                <w:b w:val="0"/>
                <w:bCs w:val="0"/>
                <w:sz w:val="20"/>
                <w:szCs w:val="20"/>
                <w:lang w:eastAsia="en-US"/>
              </w:rPr>
            </w:pPr>
            <w:r w:rsidRPr="00BC195C">
              <w:rPr>
                <w:b w:val="0"/>
                <w:bCs w:val="0"/>
                <w:sz w:val="20"/>
                <w:szCs w:val="20"/>
                <w:lang w:eastAsia="en-US"/>
              </w:rPr>
              <w:t xml:space="preserve">5.1. </w:t>
            </w:r>
            <w:r w:rsidR="004555E4">
              <w:rPr>
                <w:b w:val="0"/>
                <w:bCs w:val="0"/>
                <w:sz w:val="20"/>
                <w:szCs w:val="20"/>
                <w:lang w:eastAsia="en-US"/>
              </w:rPr>
              <w:t xml:space="preserve"> </w:t>
            </w:r>
            <w:r w:rsidRPr="00BC195C">
              <w:rPr>
                <w:b w:val="0"/>
                <w:bCs w:val="0"/>
                <w:sz w:val="20"/>
                <w:szCs w:val="20"/>
                <w:lang w:eastAsia="en-US"/>
              </w:rPr>
              <w:t>Saistošie noteikumi „Grozījumi Rēzeknes novada pašvaldības 2022.gada 17.marta saistošajos noteikumos Nr.39 „</w:t>
            </w:r>
            <w:r w:rsidR="004555E4" w:rsidRPr="004555E4">
              <w:rPr>
                <w:b w:val="0"/>
                <w:bCs w:val="0"/>
                <w:sz w:val="20"/>
                <w:szCs w:val="20"/>
                <w:lang w:eastAsia="en-US"/>
              </w:rPr>
              <w:t>Par Rēzeknes novada pašvaldības līdzfinansējuma piešķiršanu daudzdzīvokļu dzīvojamo māju energoefektivitātes pasākumu veikšanai, šo māju īpašumā vai nomā esošo zemesgabalu labiekārtošanai un daudzdzīvokļu dzīvojamo māju atjaunošanas pasākumiem</w:t>
            </w:r>
            <w:r w:rsidRPr="00BC195C">
              <w:rPr>
                <w:b w:val="0"/>
                <w:bCs w:val="0"/>
                <w:sz w:val="20"/>
                <w:szCs w:val="20"/>
                <w:lang w:eastAsia="en-US"/>
              </w:rPr>
              <w:t xml:space="preserve">”” </w:t>
            </w:r>
            <w:r w:rsidR="004555E4" w:rsidRPr="004555E4">
              <w:rPr>
                <w:b w:val="0"/>
                <w:bCs w:val="0"/>
                <w:sz w:val="20"/>
                <w:szCs w:val="20"/>
                <w:lang w:eastAsia="en-US"/>
              </w:rPr>
              <w:t>tiek izstrādāti pamatojoties uz saskaņā ar likuma</w:t>
            </w:r>
            <w:r w:rsidR="004555E4">
              <w:rPr>
                <w:b w:val="0"/>
                <w:bCs w:val="0"/>
                <w:sz w:val="20"/>
                <w:szCs w:val="20"/>
                <w:lang w:eastAsia="en-US"/>
              </w:rPr>
              <w:t xml:space="preserve"> </w:t>
            </w:r>
            <w:r w:rsidR="004555E4" w:rsidRPr="004555E4">
              <w:rPr>
                <w:b w:val="0"/>
                <w:bCs w:val="0"/>
                <w:sz w:val="20"/>
                <w:szCs w:val="20"/>
                <w:lang w:eastAsia="en-US"/>
              </w:rPr>
              <w:t>“Par palīdzību dzīvokļa jautājumu risināšanā”</w:t>
            </w:r>
            <w:r w:rsidR="004555E4">
              <w:rPr>
                <w:b w:val="0"/>
                <w:bCs w:val="0"/>
                <w:sz w:val="20"/>
                <w:szCs w:val="20"/>
                <w:lang w:eastAsia="en-US"/>
              </w:rPr>
              <w:t xml:space="preserve"> </w:t>
            </w:r>
            <w:r w:rsidR="004555E4" w:rsidRPr="004555E4">
              <w:rPr>
                <w:b w:val="0"/>
                <w:bCs w:val="0"/>
                <w:sz w:val="20"/>
                <w:szCs w:val="20"/>
                <w:lang w:eastAsia="en-US"/>
              </w:rPr>
              <w:t>27.</w:t>
            </w:r>
            <w:r w:rsidR="004555E4" w:rsidRPr="004555E4">
              <w:rPr>
                <w:b w:val="0"/>
                <w:bCs w:val="0"/>
                <w:sz w:val="20"/>
                <w:szCs w:val="20"/>
                <w:vertAlign w:val="superscript"/>
                <w:lang w:eastAsia="en-US"/>
              </w:rPr>
              <w:t>2</w:t>
            </w:r>
            <w:r w:rsidR="004555E4" w:rsidRPr="004555E4">
              <w:rPr>
                <w:b w:val="0"/>
                <w:bCs w:val="0"/>
                <w:sz w:val="20"/>
                <w:szCs w:val="20"/>
                <w:lang w:eastAsia="en-US"/>
              </w:rPr>
              <w:t xml:space="preserve"> panta piekt</w:t>
            </w:r>
            <w:r w:rsidR="004555E4">
              <w:rPr>
                <w:b w:val="0"/>
                <w:bCs w:val="0"/>
                <w:sz w:val="20"/>
                <w:szCs w:val="20"/>
                <w:lang w:eastAsia="en-US"/>
              </w:rPr>
              <w:t>ās</w:t>
            </w:r>
            <w:r w:rsidR="004555E4" w:rsidRPr="004555E4">
              <w:rPr>
                <w:b w:val="0"/>
                <w:bCs w:val="0"/>
                <w:sz w:val="20"/>
                <w:szCs w:val="20"/>
                <w:lang w:eastAsia="en-US"/>
              </w:rPr>
              <w:t xml:space="preserve"> daļ</w:t>
            </w:r>
            <w:r w:rsidR="004555E4">
              <w:rPr>
                <w:b w:val="0"/>
                <w:bCs w:val="0"/>
                <w:sz w:val="20"/>
                <w:szCs w:val="20"/>
                <w:lang w:eastAsia="en-US"/>
              </w:rPr>
              <w:t>as</w:t>
            </w:r>
            <w:r w:rsidR="004555E4" w:rsidRPr="004555E4">
              <w:rPr>
                <w:b w:val="0"/>
                <w:bCs w:val="0"/>
                <w:sz w:val="20"/>
                <w:szCs w:val="20"/>
                <w:lang w:eastAsia="en-US"/>
              </w:rPr>
              <w:t xml:space="preserve"> deleģējumu.</w:t>
            </w:r>
            <w:r w:rsidRPr="00BC195C">
              <w:rPr>
                <w:b w:val="0"/>
                <w:bCs w:val="0"/>
                <w:sz w:val="20"/>
                <w:szCs w:val="20"/>
                <w:lang w:eastAsia="en-US"/>
              </w:rPr>
              <w:t xml:space="preserve"> </w:t>
            </w:r>
          </w:p>
          <w:p w14:paraId="3D17EB7C" w14:textId="7D455B2A" w:rsidR="004C6904" w:rsidRPr="00BC195C" w:rsidRDefault="004C6904" w:rsidP="004C6904">
            <w:pPr>
              <w:pStyle w:val="naisnod"/>
              <w:spacing w:before="0" w:after="0"/>
              <w:ind w:left="459" w:hanging="459"/>
              <w:jc w:val="both"/>
              <w:rPr>
                <w:b w:val="0"/>
                <w:bCs w:val="0"/>
                <w:sz w:val="20"/>
                <w:szCs w:val="20"/>
                <w:lang w:eastAsia="en-US"/>
              </w:rPr>
            </w:pPr>
            <w:r w:rsidRPr="00BC195C">
              <w:rPr>
                <w:b w:val="0"/>
                <w:bCs w:val="0"/>
                <w:sz w:val="20"/>
                <w:szCs w:val="20"/>
                <w:lang w:eastAsia="en-US"/>
              </w:rPr>
              <w:t>5.2. Papildu cilvēkresursu iesaiste saistošo noteikumu īstenošanā netiek paredzēta.</w:t>
            </w:r>
          </w:p>
        </w:tc>
      </w:tr>
      <w:tr w:rsidR="004C6904" w14:paraId="1E8C27B4" w14:textId="77777777" w:rsidTr="00FD6450">
        <w:trPr>
          <w:cantSplit/>
        </w:trPr>
        <w:tc>
          <w:tcPr>
            <w:tcW w:w="2515" w:type="dxa"/>
            <w:tcBorders>
              <w:top w:val="single" w:sz="4" w:space="0" w:color="auto"/>
              <w:left w:val="single" w:sz="4" w:space="0" w:color="auto"/>
              <w:bottom w:val="single" w:sz="4" w:space="0" w:color="auto"/>
              <w:right w:val="single" w:sz="4" w:space="0" w:color="auto"/>
            </w:tcBorders>
          </w:tcPr>
          <w:p w14:paraId="151A704E" w14:textId="3F513BCB" w:rsidR="004C6904" w:rsidRPr="00BC195C" w:rsidRDefault="004C6904" w:rsidP="004C6904">
            <w:pPr>
              <w:spacing w:before="120" w:after="120"/>
              <w:rPr>
                <w:bCs/>
                <w:sz w:val="20"/>
                <w:szCs w:val="20"/>
              </w:rPr>
            </w:pPr>
            <w:r w:rsidRPr="00BC195C">
              <w:rPr>
                <w:bCs/>
                <w:sz w:val="20"/>
                <w:szCs w:val="20"/>
              </w:rPr>
              <w:t>6. Informācija par izpildes nodrošināšanu</w:t>
            </w:r>
          </w:p>
        </w:tc>
        <w:tc>
          <w:tcPr>
            <w:tcW w:w="7201" w:type="dxa"/>
            <w:tcBorders>
              <w:top w:val="single" w:sz="4" w:space="0" w:color="auto"/>
              <w:left w:val="single" w:sz="4" w:space="0" w:color="auto"/>
              <w:bottom w:val="single" w:sz="4" w:space="0" w:color="auto"/>
              <w:right w:val="single" w:sz="4" w:space="0" w:color="auto"/>
            </w:tcBorders>
            <w:vAlign w:val="center"/>
          </w:tcPr>
          <w:p w14:paraId="1BE83F3A" w14:textId="07448094" w:rsidR="004C6904" w:rsidRPr="00BC195C" w:rsidRDefault="004C6904" w:rsidP="004C6904">
            <w:pPr>
              <w:widowControl w:val="0"/>
              <w:numPr>
                <w:ilvl w:val="0"/>
                <w:numId w:val="3"/>
              </w:numPr>
              <w:ind w:left="555" w:right="102" w:hanging="425"/>
              <w:jc w:val="both"/>
              <w:textAlignment w:val="baseline"/>
              <w:rPr>
                <w:sz w:val="20"/>
                <w:szCs w:val="20"/>
              </w:rPr>
            </w:pPr>
            <w:r w:rsidRPr="00BC195C">
              <w:rPr>
                <w:sz w:val="20"/>
                <w:szCs w:val="20"/>
              </w:rPr>
              <w:t xml:space="preserve">Saistošo noteikumu </w:t>
            </w:r>
            <w:r w:rsidRPr="00BC195C">
              <w:rPr>
                <w:sz w:val="20"/>
                <w:szCs w:val="20"/>
                <w:lang w:eastAsia="en-US"/>
              </w:rPr>
              <w:t>„Grozījumi Rēzeknes novada pašvaldības 2022.gada 17.marta saistošajos noteikumos Nr.39 „</w:t>
            </w:r>
            <w:r w:rsidR="004555E4" w:rsidRPr="004555E4">
              <w:rPr>
                <w:sz w:val="20"/>
                <w:szCs w:val="20"/>
                <w:lang w:eastAsia="en-US"/>
              </w:rPr>
              <w:t>Par Rēzeknes novada pašvaldības līdzfinansējuma piešķiršanu daudzdzīvokļu dzīvojamo māju energoefektivitātes pasākumu veikšanai, šo māju īpašumā vai nomā esošo zemesgabalu labiekārtošanai un daudzdzīvokļu dzīvojamo māju atjaunošanas pasākumiem</w:t>
            </w:r>
            <w:r w:rsidRPr="00BC195C">
              <w:rPr>
                <w:sz w:val="20"/>
                <w:szCs w:val="20"/>
                <w:lang w:eastAsia="en-US"/>
              </w:rPr>
              <w:t xml:space="preserve">”” </w:t>
            </w:r>
            <w:r w:rsidRPr="00BC195C">
              <w:rPr>
                <w:sz w:val="20"/>
                <w:szCs w:val="20"/>
              </w:rPr>
              <w:t xml:space="preserve">izpildē iesaistītās institūcijas  - līdzfinansējuma saņemšanai domes izveidotā komisija. </w:t>
            </w:r>
          </w:p>
          <w:p w14:paraId="37E9C736" w14:textId="427AC9E4" w:rsidR="004C6904" w:rsidRPr="00BC195C" w:rsidRDefault="004C6904" w:rsidP="004C6904">
            <w:pPr>
              <w:widowControl w:val="0"/>
              <w:numPr>
                <w:ilvl w:val="0"/>
                <w:numId w:val="3"/>
              </w:numPr>
              <w:ind w:left="555" w:right="102" w:hanging="425"/>
              <w:jc w:val="both"/>
              <w:textAlignment w:val="baseline"/>
              <w:rPr>
                <w:sz w:val="20"/>
                <w:szCs w:val="20"/>
              </w:rPr>
            </w:pPr>
            <w:r w:rsidRPr="00BC195C">
              <w:rPr>
                <w:sz w:val="20"/>
                <w:szCs w:val="20"/>
              </w:rPr>
              <w:t xml:space="preserve">Saistošo noteikumu </w:t>
            </w:r>
            <w:r w:rsidRPr="00BC195C">
              <w:rPr>
                <w:sz w:val="20"/>
                <w:szCs w:val="20"/>
                <w:lang w:eastAsia="en-US"/>
              </w:rPr>
              <w:t>„Grozījumi Rēzeknes novada pašvaldības 2022.gada 17.marta saistošajos noteikumos Nr.39 „</w:t>
            </w:r>
            <w:r w:rsidR="00050D10" w:rsidRPr="004555E4">
              <w:rPr>
                <w:sz w:val="20"/>
                <w:szCs w:val="20"/>
                <w:lang w:eastAsia="en-US"/>
              </w:rPr>
              <w:t>Par Rēzeknes novada pašvaldības līdzfinansējuma piešķiršanu daudzdzīvokļu dzīvojamo māju energoefektivitātes pasākumu veikšanai, šo māju īpašumā vai nomā esošo zemesgabalu labiekārtošanai un daudzdzīvokļu dzīvojamo māju atjaunošanas pasākumiem</w:t>
            </w:r>
            <w:r w:rsidRPr="00BC195C">
              <w:rPr>
                <w:sz w:val="20"/>
                <w:szCs w:val="20"/>
                <w:lang w:eastAsia="en-US"/>
              </w:rPr>
              <w:t>”” i</w:t>
            </w:r>
            <w:r w:rsidRPr="00BC195C">
              <w:rPr>
                <w:bCs/>
                <w:sz w:val="20"/>
                <w:szCs w:val="20"/>
              </w:rPr>
              <w:t>zpildes nodrošināšanai papildu resursi nav nepieciešami.</w:t>
            </w:r>
          </w:p>
        </w:tc>
      </w:tr>
      <w:tr w:rsidR="004C6904" w14:paraId="0EE12974" w14:textId="77777777" w:rsidTr="00FD6450">
        <w:trPr>
          <w:cantSplit/>
        </w:trPr>
        <w:tc>
          <w:tcPr>
            <w:tcW w:w="2515" w:type="dxa"/>
            <w:tcBorders>
              <w:top w:val="single" w:sz="4" w:space="0" w:color="auto"/>
              <w:left w:val="single" w:sz="4" w:space="0" w:color="auto"/>
              <w:bottom w:val="single" w:sz="4" w:space="0" w:color="auto"/>
              <w:right w:val="single" w:sz="4" w:space="0" w:color="auto"/>
            </w:tcBorders>
          </w:tcPr>
          <w:p w14:paraId="139EA574" w14:textId="093D4C80" w:rsidR="004C6904" w:rsidRPr="00BC195C" w:rsidRDefault="004C6904" w:rsidP="004C6904">
            <w:pPr>
              <w:spacing w:before="120" w:after="120"/>
              <w:rPr>
                <w:bCs/>
                <w:sz w:val="20"/>
                <w:szCs w:val="20"/>
              </w:rPr>
            </w:pPr>
            <w:r w:rsidRPr="00BC195C">
              <w:rPr>
                <w:bCs/>
                <w:sz w:val="20"/>
                <w:szCs w:val="20"/>
              </w:rPr>
              <w:t>7. Prasību un izmaksu samērīgums pret ieguvumiem, ko sniedz mērķa sasniegšana</w:t>
            </w:r>
          </w:p>
        </w:tc>
        <w:tc>
          <w:tcPr>
            <w:tcW w:w="7201" w:type="dxa"/>
            <w:tcBorders>
              <w:top w:val="single" w:sz="4" w:space="0" w:color="auto"/>
              <w:left w:val="single" w:sz="4" w:space="0" w:color="auto"/>
              <w:bottom w:val="single" w:sz="4" w:space="0" w:color="auto"/>
              <w:right w:val="single" w:sz="4" w:space="0" w:color="auto"/>
            </w:tcBorders>
            <w:vAlign w:val="center"/>
          </w:tcPr>
          <w:p w14:paraId="69079EDE" w14:textId="42D6D6DE" w:rsidR="004C6904" w:rsidRPr="00BC195C" w:rsidRDefault="004C6904" w:rsidP="004C6904">
            <w:pPr>
              <w:ind w:left="459" w:hanging="459"/>
              <w:jc w:val="both"/>
              <w:rPr>
                <w:bCs/>
                <w:sz w:val="20"/>
                <w:szCs w:val="20"/>
              </w:rPr>
            </w:pPr>
            <w:r w:rsidRPr="00BC195C">
              <w:rPr>
                <w:bCs/>
                <w:sz w:val="20"/>
                <w:szCs w:val="20"/>
              </w:rPr>
              <w:t xml:space="preserve">7.1. Saistošie noteikumi </w:t>
            </w:r>
            <w:r w:rsidRPr="00BC195C">
              <w:rPr>
                <w:sz w:val="20"/>
                <w:szCs w:val="20"/>
                <w:lang w:eastAsia="en-US"/>
              </w:rPr>
              <w:t>„Grozījumi Rēzeknes novada pašvaldības 2022.gada 17.marta saistošajos noteikumos Nr.39 „</w:t>
            </w:r>
            <w:r w:rsidR="00050D10" w:rsidRPr="004555E4">
              <w:rPr>
                <w:sz w:val="20"/>
                <w:szCs w:val="20"/>
                <w:lang w:eastAsia="en-US"/>
              </w:rPr>
              <w:t>Par Rēzeknes novada pašvaldības līdzfinansējuma piešķiršanu daudzdzīvokļu dzīvojamo māju energoefektivitātes pasākumu veikšanai, šo māju īpašumā vai nomā esošo zemesgabalu labiekārtošanai un daudzdzīvokļu dzīvojamo māju atjaunošanas pasākumiem</w:t>
            </w:r>
            <w:r w:rsidRPr="00BC195C">
              <w:rPr>
                <w:sz w:val="20"/>
                <w:szCs w:val="20"/>
                <w:lang w:eastAsia="en-US"/>
              </w:rPr>
              <w:t xml:space="preserve">”” </w:t>
            </w:r>
            <w:r w:rsidRPr="00BC195C">
              <w:rPr>
                <w:bCs/>
                <w:sz w:val="20"/>
                <w:szCs w:val="20"/>
              </w:rPr>
              <w:t>ir piemēroti iecerētā mērķa sasniegšanas nodrošināšanai.</w:t>
            </w:r>
          </w:p>
          <w:p w14:paraId="483E08B7" w14:textId="38604BEC" w:rsidR="004C6904" w:rsidRPr="00BC195C" w:rsidRDefault="004C6904" w:rsidP="004C6904">
            <w:pPr>
              <w:ind w:left="459" w:hanging="459"/>
              <w:jc w:val="both"/>
              <w:rPr>
                <w:bCs/>
                <w:sz w:val="20"/>
                <w:szCs w:val="20"/>
              </w:rPr>
            </w:pPr>
            <w:r w:rsidRPr="00BC195C">
              <w:rPr>
                <w:bCs/>
                <w:sz w:val="20"/>
                <w:szCs w:val="20"/>
              </w:rPr>
              <w:t xml:space="preserve">7.2. Pašvaldības izraudzītais līdzeklis </w:t>
            </w:r>
            <w:r w:rsidRPr="00BC195C">
              <w:rPr>
                <w:sz w:val="20"/>
                <w:szCs w:val="20"/>
              </w:rPr>
              <w:t xml:space="preserve">Saistošo noteikumu </w:t>
            </w:r>
            <w:r w:rsidRPr="00BC195C">
              <w:rPr>
                <w:sz w:val="20"/>
                <w:szCs w:val="20"/>
                <w:lang w:eastAsia="en-US"/>
              </w:rPr>
              <w:t>„Grozījumi Rēzeknes novada pašvaldības 2022.gada 17.marta saistošajos noteikumos Nr.39 „</w:t>
            </w:r>
            <w:r w:rsidR="00050D10" w:rsidRPr="004555E4">
              <w:rPr>
                <w:sz w:val="20"/>
                <w:szCs w:val="20"/>
                <w:lang w:eastAsia="en-US"/>
              </w:rPr>
              <w:t>Par Rēzeknes novada pašvaldības līdzfinansējuma piešķiršanu daudzdzīvokļu dzīvojamo māju energoefektivitātes pasākumu veikšanai, šo māju īpašumā vai nomā esošo zemesgabalu labiekārtošanai un daudzdzīvokļu dzīvojamo māju atjaunošanas pasākumiem</w:t>
            </w:r>
            <w:r w:rsidRPr="00BC195C">
              <w:rPr>
                <w:sz w:val="20"/>
                <w:szCs w:val="20"/>
                <w:lang w:eastAsia="en-US"/>
              </w:rPr>
              <w:t>”” izdošanai ir piemērots leģitīmā mērķa sasniegšanai, nav citu saudzējošāku līdzekļu, lai sasniegtu leģitīmo mērķi un pašvaldības  rīcība ir atbilstoša</w:t>
            </w:r>
            <w:r w:rsidRPr="00BC195C">
              <w:rPr>
                <w:sz w:val="20"/>
                <w:szCs w:val="20"/>
              </w:rPr>
              <w:t>.</w:t>
            </w:r>
          </w:p>
        </w:tc>
      </w:tr>
      <w:tr w:rsidR="004C6904" w14:paraId="03CC090F" w14:textId="77777777" w:rsidTr="00FD6450">
        <w:trPr>
          <w:cantSplit/>
        </w:trPr>
        <w:tc>
          <w:tcPr>
            <w:tcW w:w="2515" w:type="dxa"/>
            <w:tcBorders>
              <w:top w:val="single" w:sz="4" w:space="0" w:color="auto"/>
              <w:left w:val="single" w:sz="4" w:space="0" w:color="auto"/>
              <w:bottom w:val="single" w:sz="4" w:space="0" w:color="auto"/>
              <w:right w:val="single" w:sz="4" w:space="0" w:color="auto"/>
            </w:tcBorders>
          </w:tcPr>
          <w:p w14:paraId="52750AB5" w14:textId="398FE2EF" w:rsidR="004C6904" w:rsidRPr="00BC195C" w:rsidRDefault="004C6904" w:rsidP="004C6904">
            <w:pPr>
              <w:spacing w:before="120" w:after="120"/>
              <w:rPr>
                <w:bCs/>
                <w:sz w:val="20"/>
                <w:szCs w:val="20"/>
              </w:rPr>
            </w:pPr>
            <w:r w:rsidRPr="00BC195C">
              <w:rPr>
                <w:bCs/>
                <w:sz w:val="20"/>
                <w:szCs w:val="20"/>
              </w:rPr>
              <w:t>8.</w:t>
            </w:r>
            <w:r w:rsidRPr="00BC195C">
              <w:rPr>
                <w:sz w:val="20"/>
                <w:szCs w:val="20"/>
              </w:rPr>
              <w:t xml:space="preserve"> </w:t>
            </w:r>
            <w:r w:rsidRPr="00BC195C">
              <w:rPr>
                <w:bCs/>
                <w:sz w:val="20"/>
                <w:szCs w:val="20"/>
              </w:rPr>
              <w:t>Izstrādes gaitā veiktās konsultācijas ar privātpersonām un institūcijām</w:t>
            </w:r>
          </w:p>
        </w:tc>
        <w:tc>
          <w:tcPr>
            <w:tcW w:w="7201" w:type="dxa"/>
            <w:tcBorders>
              <w:top w:val="single" w:sz="4" w:space="0" w:color="auto"/>
              <w:left w:val="single" w:sz="4" w:space="0" w:color="auto"/>
              <w:bottom w:val="single" w:sz="4" w:space="0" w:color="auto"/>
              <w:right w:val="single" w:sz="4" w:space="0" w:color="auto"/>
            </w:tcBorders>
            <w:vAlign w:val="center"/>
          </w:tcPr>
          <w:p w14:paraId="6001CFFA" w14:textId="17C075B2" w:rsidR="004C6904" w:rsidRDefault="004C6904" w:rsidP="004C6904">
            <w:pPr>
              <w:ind w:left="459" w:hanging="459"/>
              <w:jc w:val="both"/>
              <w:rPr>
                <w:bCs/>
                <w:sz w:val="20"/>
                <w:szCs w:val="20"/>
              </w:rPr>
            </w:pPr>
            <w:r w:rsidRPr="00BC195C">
              <w:rPr>
                <w:bCs/>
                <w:sz w:val="20"/>
                <w:szCs w:val="20"/>
              </w:rPr>
              <w:t xml:space="preserve">8.1. Atbilstoši Pašvaldību likuma 46.panta trešajai daļai saistošo noteikumu </w:t>
            </w:r>
            <w:r w:rsidRPr="00BC195C">
              <w:rPr>
                <w:sz w:val="20"/>
                <w:szCs w:val="20"/>
                <w:lang w:eastAsia="en-US"/>
              </w:rPr>
              <w:t xml:space="preserve">„Grozījumi Rēzeknes novada pašvaldības 2022.gada 17.marta saistošajos noteikumos Nr.39 </w:t>
            </w:r>
            <w:r w:rsidR="00050D10" w:rsidRPr="004555E4">
              <w:rPr>
                <w:sz w:val="20"/>
                <w:szCs w:val="20"/>
                <w:lang w:eastAsia="en-US"/>
              </w:rPr>
              <w:t>Par Rēzeknes novada pašvaldības līdzfinansējuma piešķiršanu daudzdzīvokļu dzīvojamo māju energoefektivitātes pasākumu veikšanai, šo māju īpašumā vai nomā esošo zemesgabalu labiekārtošanai un daudzdzīvokļu dzīvojamo māju atjaunošanas pasākumiem</w:t>
            </w:r>
            <w:r w:rsidRPr="00BC195C">
              <w:rPr>
                <w:sz w:val="20"/>
                <w:szCs w:val="20"/>
                <w:lang w:eastAsia="en-US"/>
              </w:rPr>
              <w:t xml:space="preserve">”” </w:t>
            </w:r>
            <w:r w:rsidRPr="00BC195C">
              <w:rPr>
                <w:bCs/>
                <w:sz w:val="20"/>
                <w:szCs w:val="20"/>
              </w:rPr>
              <w:t xml:space="preserve">projekts </w:t>
            </w:r>
            <w:r w:rsidRPr="000C28E5">
              <w:rPr>
                <w:bCs/>
                <w:sz w:val="20"/>
                <w:szCs w:val="20"/>
              </w:rPr>
              <w:t>202</w:t>
            </w:r>
            <w:r w:rsidR="00050D10">
              <w:rPr>
                <w:bCs/>
                <w:sz w:val="20"/>
                <w:szCs w:val="20"/>
              </w:rPr>
              <w:t>4</w:t>
            </w:r>
            <w:r w:rsidRPr="000C28E5">
              <w:rPr>
                <w:bCs/>
                <w:sz w:val="20"/>
                <w:szCs w:val="20"/>
              </w:rPr>
              <w:t>.</w:t>
            </w:r>
            <w:r w:rsidRPr="0069704C">
              <w:rPr>
                <w:bCs/>
                <w:sz w:val="20"/>
                <w:szCs w:val="20"/>
              </w:rPr>
              <w:t xml:space="preserve">gada </w:t>
            </w:r>
            <w:r w:rsidR="00D818B4">
              <w:rPr>
                <w:bCs/>
                <w:sz w:val="20"/>
                <w:szCs w:val="20"/>
              </w:rPr>
              <w:t>27</w:t>
            </w:r>
            <w:r w:rsidR="00050D10" w:rsidRPr="0069704C">
              <w:rPr>
                <w:bCs/>
                <w:sz w:val="20"/>
                <w:szCs w:val="20"/>
              </w:rPr>
              <w:t>.novembrī</w:t>
            </w:r>
            <w:r w:rsidRPr="0069704C">
              <w:rPr>
                <w:bCs/>
                <w:sz w:val="20"/>
                <w:szCs w:val="20"/>
              </w:rPr>
              <w:t xml:space="preserve"> </w:t>
            </w:r>
            <w:r w:rsidRPr="00BC195C">
              <w:rPr>
                <w:bCs/>
                <w:sz w:val="20"/>
                <w:szCs w:val="20"/>
              </w:rPr>
              <w:t xml:space="preserve">nodots sabiedrības viedokļa noskaidrošanai, publicējot Rēzeknes novada pašvaldības tīmekļa vietnē </w:t>
            </w:r>
            <w:hyperlink r:id="rId10" w:history="1">
              <w:r w:rsidRPr="00BC195C">
                <w:rPr>
                  <w:bCs/>
                  <w:color w:val="0000FF"/>
                  <w:sz w:val="20"/>
                  <w:szCs w:val="20"/>
                  <w:u w:val="single"/>
                </w:rPr>
                <w:t>www.rezeknesnovads.lv</w:t>
              </w:r>
            </w:hyperlink>
            <w:r w:rsidRPr="00BC195C">
              <w:rPr>
                <w:bCs/>
                <w:sz w:val="20"/>
                <w:szCs w:val="20"/>
              </w:rPr>
              <w:t xml:space="preserve">. Viedokļa izteikšanas termiņš </w:t>
            </w:r>
            <w:r w:rsidR="00300FB5">
              <w:rPr>
                <w:bCs/>
                <w:sz w:val="20"/>
                <w:szCs w:val="20"/>
              </w:rPr>
              <w:t>-</w:t>
            </w:r>
            <w:r w:rsidRPr="00BC195C">
              <w:rPr>
                <w:bCs/>
                <w:sz w:val="20"/>
                <w:szCs w:val="20"/>
              </w:rPr>
              <w:t xml:space="preserve"> divas nedēļas no publicēšanas dienas Sabiedrības viedokļa noskaidrošanai </w:t>
            </w:r>
            <w:r w:rsidRPr="00BC195C">
              <w:rPr>
                <w:sz w:val="20"/>
                <w:szCs w:val="20"/>
                <w:lang w:eastAsia="en-US"/>
              </w:rPr>
              <w:t>„Grozījumi Rēzeknes novada pašvaldības 2022.gada 17.marta saistošajos noteikumos Nr.39 „</w:t>
            </w:r>
            <w:r w:rsidR="00050D10" w:rsidRPr="004555E4">
              <w:rPr>
                <w:sz w:val="20"/>
                <w:szCs w:val="20"/>
                <w:lang w:eastAsia="en-US"/>
              </w:rPr>
              <w:t>Par Rēzeknes novada pašvaldības līdzfinansējuma piešķiršanu daudzdzīvokļu dzīvojamo māju energoefektivitātes pasākumu veikšanai, šo māju īpašumā vai nomā esošo zemesgabalu labiekārtošanai un daudzdzīvokļu dzīvojamo māju atjaunošanas pasākumiem</w:t>
            </w:r>
            <w:r w:rsidRPr="00BC195C">
              <w:rPr>
                <w:sz w:val="20"/>
                <w:szCs w:val="20"/>
                <w:lang w:eastAsia="en-US"/>
              </w:rPr>
              <w:t>””</w:t>
            </w:r>
            <w:r w:rsidRPr="00BC195C">
              <w:rPr>
                <w:bCs/>
                <w:sz w:val="20"/>
                <w:szCs w:val="20"/>
              </w:rPr>
              <w:t xml:space="preserve"> projekts nosūtīts Rēzeknes novada pašvaldības pagastu  un Viļānu pilsētas konsultatīvajām padomēm.</w:t>
            </w:r>
          </w:p>
          <w:p w14:paraId="40948BE7" w14:textId="521B6C64" w:rsidR="004C6904" w:rsidRPr="00FB0CA5" w:rsidRDefault="004C6904" w:rsidP="004C6904">
            <w:pPr>
              <w:ind w:left="459" w:hanging="459"/>
              <w:jc w:val="both"/>
              <w:rPr>
                <w:bCs/>
                <w:color w:val="FF0000"/>
                <w:sz w:val="20"/>
                <w:szCs w:val="20"/>
              </w:rPr>
            </w:pPr>
            <w:r>
              <w:rPr>
                <w:bCs/>
                <w:sz w:val="20"/>
                <w:szCs w:val="20"/>
              </w:rPr>
              <w:t xml:space="preserve">8.2. Atbilstoši </w:t>
            </w:r>
            <w:r w:rsidRPr="008A787F">
              <w:rPr>
                <w:bCs/>
                <w:sz w:val="20"/>
                <w:szCs w:val="20"/>
              </w:rPr>
              <w:t>Komercdarbības atbalsta kontroles liku</w:t>
            </w:r>
            <w:r>
              <w:rPr>
                <w:bCs/>
                <w:sz w:val="20"/>
                <w:szCs w:val="20"/>
              </w:rPr>
              <w:t>ma 9.panta pirmās daļas 1.punktam un 10.pantam, Rēzeknes novada pašvaldība 202</w:t>
            </w:r>
            <w:r w:rsidR="00050D10">
              <w:rPr>
                <w:bCs/>
                <w:sz w:val="20"/>
                <w:szCs w:val="20"/>
              </w:rPr>
              <w:t>4</w:t>
            </w:r>
            <w:r>
              <w:rPr>
                <w:bCs/>
                <w:sz w:val="20"/>
                <w:szCs w:val="20"/>
              </w:rPr>
              <w:t xml:space="preserve">.gada </w:t>
            </w:r>
            <w:r w:rsidR="00050D10">
              <w:rPr>
                <w:bCs/>
                <w:sz w:val="20"/>
                <w:szCs w:val="20"/>
              </w:rPr>
              <w:t>24.oktobrī</w:t>
            </w:r>
            <w:r>
              <w:rPr>
                <w:bCs/>
                <w:sz w:val="20"/>
                <w:szCs w:val="20"/>
              </w:rPr>
              <w:t xml:space="preserve"> iesniedza saskaņošanai Finanšu ministrijā </w:t>
            </w:r>
            <w:r w:rsidRPr="00BC195C">
              <w:rPr>
                <w:bCs/>
                <w:sz w:val="20"/>
                <w:szCs w:val="20"/>
              </w:rPr>
              <w:t xml:space="preserve">saistošo noteikumu </w:t>
            </w:r>
            <w:r w:rsidRPr="00BC195C">
              <w:rPr>
                <w:sz w:val="20"/>
                <w:szCs w:val="20"/>
                <w:lang w:eastAsia="en-US"/>
              </w:rPr>
              <w:t>„Grozījumi Rēzeknes novada pašvaldības 2022.gada 17.marta saistošajos noteikumos Nr.39 „</w:t>
            </w:r>
            <w:r w:rsidR="00050D10" w:rsidRPr="004555E4">
              <w:rPr>
                <w:sz w:val="20"/>
                <w:szCs w:val="20"/>
                <w:lang w:eastAsia="en-US"/>
              </w:rPr>
              <w:t>Par Rēzeknes novada pašvaldības līdzfinansējuma piešķiršanu daudzdzīvokļu dzīvojamo māju energoefektivitātes pasākumu veikšanai, šo māju īpašumā vai nomā esošo zemesgabalu labiekārtošanai un daudzdzīvokļu dzīvojamo māju atjaunošanas pasākumiem</w:t>
            </w:r>
            <w:r w:rsidRPr="00BC195C">
              <w:rPr>
                <w:sz w:val="20"/>
                <w:szCs w:val="20"/>
                <w:lang w:eastAsia="en-US"/>
              </w:rPr>
              <w:t xml:space="preserve">”” </w:t>
            </w:r>
            <w:r>
              <w:rPr>
                <w:bCs/>
                <w:sz w:val="20"/>
                <w:szCs w:val="20"/>
              </w:rPr>
              <w:t xml:space="preserve">projektu. </w:t>
            </w:r>
            <w:r w:rsidRPr="008A787F">
              <w:rPr>
                <w:bCs/>
                <w:sz w:val="20"/>
                <w:szCs w:val="20"/>
              </w:rPr>
              <w:t xml:space="preserve"> Rēzeknes novada pašvaldībā tika saņemts </w:t>
            </w:r>
            <w:r w:rsidRPr="0069704C">
              <w:rPr>
                <w:bCs/>
                <w:sz w:val="20"/>
                <w:szCs w:val="20"/>
              </w:rPr>
              <w:t>Finanšu ministrijas 202</w:t>
            </w:r>
            <w:r w:rsidR="00050D10" w:rsidRPr="0069704C">
              <w:rPr>
                <w:bCs/>
                <w:sz w:val="20"/>
                <w:szCs w:val="20"/>
              </w:rPr>
              <w:t>4</w:t>
            </w:r>
            <w:r w:rsidRPr="0069704C">
              <w:rPr>
                <w:bCs/>
                <w:sz w:val="20"/>
                <w:szCs w:val="20"/>
              </w:rPr>
              <w:t xml:space="preserve">.gada </w:t>
            </w:r>
            <w:r w:rsidR="00050D10" w:rsidRPr="0069704C">
              <w:rPr>
                <w:bCs/>
                <w:sz w:val="20"/>
                <w:szCs w:val="20"/>
              </w:rPr>
              <w:t>__</w:t>
            </w:r>
            <w:r w:rsidR="00413ACA" w:rsidRPr="0069704C">
              <w:rPr>
                <w:bCs/>
                <w:sz w:val="20"/>
                <w:szCs w:val="20"/>
              </w:rPr>
              <w:t>.</w:t>
            </w:r>
            <w:r w:rsidR="00050D10" w:rsidRPr="0069704C">
              <w:rPr>
                <w:bCs/>
                <w:sz w:val="20"/>
                <w:szCs w:val="20"/>
              </w:rPr>
              <w:t>_______</w:t>
            </w:r>
            <w:r w:rsidRPr="0069704C">
              <w:rPr>
                <w:bCs/>
                <w:sz w:val="20"/>
                <w:szCs w:val="20"/>
              </w:rPr>
              <w:t xml:space="preserve"> saskaņojums Nr</w:t>
            </w:r>
            <w:r w:rsidR="00050D10" w:rsidRPr="0069704C">
              <w:rPr>
                <w:bCs/>
                <w:sz w:val="20"/>
                <w:szCs w:val="20"/>
              </w:rPr>
              <w:t>________</w:t>
            </w:r>
            <w:r w:rsidRPr="0069704C">
              <w:rPr>
                <w:bCs/>
                <w:sz w:val="20"/>
                <w:szCs w:val="20"/>
              </w:rPr>
              <w:t xml:space="preserve"> par saistošo noteikumu projektu, kurā </w:t>
            </w:r>
            <w:r w:rsidR="00050D10" w:rsidRPr="0069704C">
              <w:rPr>
                <w:bCs/>
                <w:sz w:val="20"/>
                <w:szCs w:val="20"/>
              </w:rPr>
              <w:t>______________________________</w:t>
            </w:r>
            <w:r w:rsidRPr="0069704C">
              <w:rPr>
                <w:bCs/>
                <w:sz w:val="20"/>
                <w:szCs w:val="20"/>
              </w:rPr>
              <w:t>.</w:t>
            </w:r>
          </w:p>
          <w:p w14:paraId="1DC7EDD8" w14:textId="5920AC4A" w:rsidR="004C6904" w:rsidRPr="00D31A14" w:rsidRDefault="004C6904" w:rsidP="004C6904">
            <w:pPr>
              <w:ind w:left="459" w:hanging="459"/>
              <w:jc w:val="both"/>
              <w:rPr>
                <w:sz w:val="20"/>
                <w:szCs w:val="20"/>
              </w:rPr>
            </w:pPr>
            <w:r w:rsidRPr="00BC195C">
              <w:rPr>
                <w:bCs/>
                <w:sz w:val="20"/>
                <w:szCs w:val="20"/>
              </w:rPr>
              <w:t>8.</w:t>
            </w:r>
            <w:r>
              <w:rPr>
                <w:bCs/>
                <w:sz w:val="20"/>
                <w:szCs w:val="20"/>
              </w:rPr>
              <w:t>3</w:t>
            </w:r>
            <w:r w:rsidRPr="00BC195C">
              <w:rPr>
                <w:bCs/>
                <w:sz w:val="20"/>
                <w:szCs w:val="20"/>
              </w:rPr>
              <w:t xml:space="preserve">. </w:t>
            </w:r>
            <w:r w:rsidRPr="000C28E5">
              <w:rPr>
                <w:sz w:val="20"/>
                <w:szCs w:val="20"/>
              </w:rPr>
              <w:t>Sabiedrības viedokļa noskaidrošanas termiņā  līdz 202</w:t>
            </w:r>
            <w:r w:rsidR="00050D10">
              <w:rPr>
                <w:sz w:val="20"/>
                <w:szCs w:val="20"/>
              </w:rPr>
              <w:t>4</w:t>
            </w:r>
            <w:r w:rsidRPr="000C28E5">
              <w:rPr>
                <w:sz w:val="20"/>
                <w:szCs w:val="20"/>
              </w:rPr>
              <w:t xml:space="preserve">.gada </w:t>
            </w:r>
            <w:r w:rsidR="00D818B4">
              <w:rPr>
                <w:sz w:val="20"/>
                <w:szCs w:val="20"/>
              </w:rPr>
              <w:t>11</w:t>
            </w:r>
            <w:r>
              <w:rPr>
                <w:sz w:val="20"/>
                <w:szCs w:val="20"/>
              </w:rPr>
              <w:t>.</w:t>
            </w:r>
            <w:r w:rsidR="00D818B4">
              <w:rPr>
                <w:sz w:val="20"/>
                <w:szCs w:val="20"/>
              </w:rPr>
              <w:t>decem</w:t>
            </w:r>
            <w:r>
              <w:rPr>
                <w:sz w:val="20"/>
                <w:szCs w:val="20"/>
              </w:rPr>
              <w:t>brim</w:t>
            </w:r>
            <w:r w:rsidRPr="000C28E5">
              <w:rPr>
                <w:sz w:val="20"/>
                <w:szCs w:val="20"/>
              </w:rPr>
              <w:t xml:space="preserve"> </w:t>
            </w:r>
            <w:r w:rsidRPr="00D31A14">
              <w:rPr>
                <w:sz w:val="20"/>
                <w:szCs w:val="20"/>
              </w:rPr>
              <w:t xml:space="preserve">sabiedrības viedokļi </w:t>
            </w:r>
            <w:r w:rsidR="00050D10">
              <w:rPr>
                <w:sz w:val="20"/>
                <w:szCs w:val="20"/>
              </w:rPr>
              <w:t>_________</w:t>
            </w:r>
            <w:r w:rsidRPr="00D31A14">
              <w:rPr>
                <w:sz w:val="20"/>
                <w:szCs w:val="20"/>
              </w:rPr>
              <w:t>.</w:t>
            </w:r>
          </w:p>
          <w:p w14:paraId="6F289AEB" w14:textId="1DCA569F" w:rsidR="004C6904" w:rsidRPr="00A57330" w:rsidRDefault="004C6904" w:rsidP="004C6904">
            <w:pPr>
              <w:ind w:left="459" w:hanging="459"/>
              <w:jc w:val="both"/>
              <w:rPr>
                <w:color w:val="FF0000"/>
                <w:sz w:val="20"/>
                <w:szCs w:val="20"/>
              </w:rPr>
            </w:pPr>
          </w:p>
        </w:tc>
      </w:tr>
    </w:tbl>
    <w:p w14:paraId="123BCB03" w14:textId="2E10A458" w:rsidR="00AD38DE" w:rsidRDefault="009221EE" w:rsidP="00E673A8">
      <w:pPr>
        <w:ind w:left="-284" w:right="46"/>
      </w:pPr>
      <w:r>
        <w:t>Domes priekšsēdētāj</w:t>
      </w:r>
      <w:r w:rsidR="00050D10">
        <w:t>s</w:t>
      </w:r>
      <w:r w:rsidR="00DF67A3">
        <w:t xml:space="preserve">                                                                       </w:t>
      </w:r>
      <w:r>
        <w:t xml:space="preserve">    </w:t>
      </w:r>
      <w:r w:rsidR="00050D10">
        <w:t xml:space="preserve">           </w:t>
      </w:r>
      <w:r>
        <w:t xml:space="preserve">   </w:t>
      </w:r>
      <w:r w:rsidR="00050D10">
        <w:t>Monvīds Švarcs</w:t>
      </w:r>
    </w:p>
    <w:sectPr w:rsidR="00AD38DE" w:rsidSect="00575F75">
      <w:footerReference w:type="default" r:id="rId11"/>
      <w:footerReference w:type="first" r:id="rId12"/>
      <w:pgSz w:w="11906" w:h="16838"/>
      <w:pgMar w:top="907" w:right="851" w:bottom="90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478B6" w14:textId="77777777" w:rsidR="000164F8" w:rsidRDefault="000164F8">
      <w:r>
        <w:separator/>
      </w:r>
    </w:p>
  </w:endnote>
  <w:endnote w:type="continuationSeparator" w:id="0">
    <w:p w14:paraId="7F47BC3C" w14:textId="77777777" w:rsidR="000164F8" w:rsidRDefault="0001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0D6DD" w14:textId="17672F5E" w:rsidR="007E44AD" w:rsidRDefault="00DF67A3">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D9504" w14:textId="77777777" w:rsidR="007E44AD" w:rsidRDefault="00DF67A3">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8E783" w14:textId="77777777" w:rsidR="000164F8" w:rsidRDefault="000164F8">
      <w:r>
        <w:separator/>
      </w:r>
    </w:p>
  </w:footnote>
  <w:footnote w:type="continuationSeparator" w:id="0">
    <w:p w14:paraId="0A693D94" w14:textId="77777777" w:rsidR="000164F8" w:rsidRDefault="00016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3A6629"/>
    <w:multiLevelType w:val="multilevel"/>
    <w:tmpl w:val="FCC2480C"/>
    <w:lvl w:ilvl="0">
      <w:start w:val="1"/>
      <w:numFmt w:val="decimal"/>
      <w:lvlText w:val="1.%1."/>
      <w:lvlJc w:val="left"/>
      <w:pPr>
        <w:ind w:left="1440" w:hanging="360"/>
      </w:pPr>
      <w:rPr>
        <w:rFonts w:hint="default"/>
        <w:b w:val="0"/>
        <w:bCs w:val="0"/>
        <w:color w:val="auto"/>
      </w:rPr>
    </w:lvl>
    <w:lvl w:ilvl="1">
      <w:start w:val="1"/>
      <w:numFmt w:val="decimal"/>
      <w:lvlText w:val="1.5.%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 w15:restartNumberingAfterBreak="0">
    <w:nsid w:val="295D19C9"/>
    <w:multiLevelType w:val="multilevel"/>
    <w:tmpl w:val="FCC2480C"/>
    <w:lvl w:ilvl="0">
      <w:start w:val="1"/>
      <w:numFmt w:val="decimal"/>
      <w:lvlText w:val="1.%1."/>
      <w:lvlJc w:val="left"/>
      <w:pPr>
        <w:ind w:left="1440" w:hanging="360"/>
      </w:pPr>
      <w:rPr>
        <w:rFonts w:hint="default"/>
        <w:b w:val="0"/>
        <w:bCs w:val="0"/>
        <w:color w:val="auto"/>
      </w:rPr>
    </w:lvl>
    <w:lvl w:ilvl="1">
      <w:start w:val="1"/>
      <w:numFmt w:val="decimal"/>
      <w:lvlText w:val="1.5.%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 w15:restartNumberingAfterBreak="0">
    <w:nsid w:val="47901F3D"/>
    <w:multiLevelType w:val="multilevel"/>
    <w:tmpl w:val="1AFA388E"/>
    <w:lvl w:ilvl="0">
      <w:start w:val="1"/>
      <w:numFmt w:val="decimal"/>
      <w:lvlText w:val="1.%1."/>
      <w:lvlJc w:val="left"/>
      <w:pPr>
        <w:ind w:left="1440" w:hanging="360"/>
      </w:pPr>
      <w:rPr>
        <w:rFonts w:hint="default"/>
        <w:b w:val="0"/>
        <w:bCs w:val="0"/>
      </w:rPr>
    </w:lvl>
    <w:lvl w:ilvl="1">
      <w:start w:val="1"/>
      <w:numFmt w:val="decimal"/>
      <w:lvlText w:val="1.5.%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 w15:restartNumberingAfterBreak="0">
    <w:nsid w:val="4CFF18D6"/>
    <w:multiLevelType w:val="multilevel"/>
    <w:tmpl w:val="E1FE60EE"/>
    <w:lvl w:ilvl="0">
      <w:start w:val="1"/>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 w15:restartNumberingAfterBreak="0">
    <w:nsid w:val="5D610F6D"/>
    <w:multiLevelType w:val="multilevel"/>
    <w:tmpl w:val="1AFA388E"/>
    <w:lvl w:ilvl="0">
      <w:start w:val="1"/>
      <w:numFmt w:val="decimal"/>
      <w:lvlText w:val="1.%1."/>
      <w:lvlJc w:val="left"/>
      <w:pPr>
        <w:ind w:left="1440" w:hanging="360"/>
      </w:pPr>
      <w:rPr>
        <w:rFonts w:hint="default"/>
        <w:b w:val="0"/>
        <w:bCs w:val="0"/>
      </w:rPr>
    </w:lvl>
    <w:lvl w:ilvl="1">
      <w:start w:val="1"/>
      <w:numFmt w:val="decimal"/>
      <w:lvlText w:val="1.5.%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2127A7C"/>
    <w:multiLevelType w:val="multilevel"/>
    <w:tmpl w:val="1AFA388E"/>
    <w:lvl w:ilvl="0">
      <w:start w:val="1"/>
      <w:numFmt w:val="decimal"/>
      <w:lvlText w:val="1.%1."/>
      <w:lvlJc w:val="left"/>
      <w:pPr>
        <w:ind w:left="1440" w:hanging="360"/>
      </w:pPr>
      <w:rPr>
        <w:rFonts w:hint="default"/>
        <w:b w:val="0"/>
        <w:bCs w:val="0"/>
      </w:rPr>
    </w:lvl>
    <w:lvl w:ilvl="1">
      <w:start w:val="1"/>
      <w:numFmt w:val="decimal"/>
      <w:lvlText w:val="1.5.%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16cid:durableId="442699926">
    <w:abstractNumId w:val="0"/>
  </w:num>
  <w:num w:numId="2" w16cid:durableId="755784880">
    <w:abstractNumId w:val="4"/>
  </w:num>
  <w:num w:numId="3" w16cid:durableId="961419495">
    <w:abstractNumId w:val="5"/>
  </w:num>
  <w:num w:numId="4" w16cid:durableId="1967656572">
    <w:abstractNumId w:val="6"/>
  </w:num>
  <w:num w:numId="5" w16cid:durableId="1922134186">
    <w:abstractNumId w:val="2"/>
  </w:num>
  <w:num w:numId="6" w16cid:durableId="1732802434">
    <w:abstractNumId w:val="1"/>
  </w:num>
  <w:num w:numId="7" w16cid:durableId="20168337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608"/>
    <w:rsid w:val="00010EFD"/>
    <w:rsid w:val="0001563F"/>
    <w:rsid w:val="000164F8"/>
    <w:rsid w:val="000257DE"/>
    <w:rsid w:val="00031815"/>
    <w:rsid w:val="00034CAF"/>
    <w:rsid w:val="00035728"/>
    <w:rsid w:val="00040CC4"/>
    <w:rsid w:val="00042DD7"/>
    <w:rsid w:val="00050D10"/>
    <w:rsid w:val="00064943"/>
    <w:rsid w:val="00082946"/>
    <w:rsid w:val="000926E4"/>
    <w:rsid w:val="000B2AA7"/>
    <w:rsid w:val="000B4EE0"/>
    <w:rsid w:val="000C28E5"/>
    <w:rsid w:val="000D3396"/>
    <w:rsid w:val="000E11E9"/>
    <w:rsid w:val="00105697"/>
    <w:rsid w:val="0012276E"/>
    <w:rsid w:val="001430BD"/>
    <w:rsid w:val="00152A51"/>
    <w:rsid w:val="00177001"/>
    <w:rsid w:val="00180EA5"/>
    <w:rsid w:val="00191531"/>
    <w:rsid w:val="001A4136"/>
    <w:rsid w:val="001B0E9B"/>
    <w:rsid w:val="001C756E"/>
    <w:rsid w:val="001D5127"/>
    <w:rsid w:val="001F5912"/>
    <w:rsid w:val="00242594"/>
    <w:rsid w:val="0024324D"/>
    <w:rsid w:val="00257438"/>
    <w:rsid w:val="00260A50"/>
    <w:rsid w:val="0026610F"/>
    <w:rsid w:val="002842EF"/>
    <w:rsid w:val="0029326C"/>
    <w:rsid w:val="002B138C"/>
    <w:rsid w:val="002D3948"/>
    <w:rsid w:val="002F7A93"/>
    <w:rsid w:val="00300FB5"/>
    <w:rsid w:val="00310831"/>
    <w:rsid w:val="00332AFE"/>
    <w:rsid w:val="003912DE"/>
    <w:rsid w:val="00393863"/>
    <w:rsid w:val="003A01A5"/>
    <w:rsid w:val="003A07BC"/>
    <w:rsid w:val="003B2512"/>
    <w:rsid w:val="003D4B4B"/>
    <w:rsid w:val="003D6174"/>
    <w:rsid w:val="00413ACA"/>
    <w:rsid w:val="00431B7E"/>
    <w:rsid w:val="0044511A"/>
    <w:rsid w:val="00447B89"/>
    <w:rsid w:val="004545CF"/>
    <w:rsid w:val="004555E4"/>
    <w:rsid w:val="00484B4D"/>
    <w:rsid w:val="0048773D"/>
    <w:rsid w:val="004900DE"/>
    <w:rsid w:val="004C0B1E"/>
    <w:rsid w:val="004C6904"/>
    <w:rsid w:val="004D7608"/>
    <w:rsid w:val="004E1A57"/>
    <w:rsid w:val="005045E0"/>
    <w:rsid w:val="00543A88"/>
    <w:rsid w:val="00544DF9"/>
    <w:rsid w:val="00552096"/>
    <w:rsid w:val="00555576"/>
    <w:rsid w:val="00575F75"/>
    <w:rsid w:val="00586B65"/>
    <w:rsid w:val="005D58F9"/>
    <w:rsid w:val="00627905"/>
    <w:rsid w:val="00634EC2"/>
    <w:rsid w:val="006402F5"/>
    <w:rsid w:val="006477BC"/>
    <w:rsid w:val="00656ED7"/>
    <w:rsid w:val="006804B7"/>
    <w:rsid w:val="0069704C"/>
    <w:rsid w:val="006C2858"/>
    <w:rsid w:val="006C50C0"/>
    <w:rsid w:val="00715D5F"/>
    <w:rsid w:val="00734B5F"/>
    <w:rsid w:val="007529B2"/>
    <w:rsid w:val="00753C08"/>
    <w:rsid w:val="00757B35"/>
    <w:rsid w:val="00761114"/>
    <w:rsid w:val="007A3018"/>
    <w:rsid w:val="007C57D6"/>
    <w:rsid w:val="007C7208"/>
    <w:rsid w:val="007C75B8"/>
    <w:rsid w:val="007E3110"/>
    <w:rsid w:val="007E44AD"/>
    <w:rsid w:val="007E5DFD"/>
    <w:rsid w:val="0080064D"/>
    <w:rsid w:val="00815737"/>
    <w:rsid w:val="00815CCD"/>
    <w:rsid w:val="00817B9C"/>
    <w:rsid w:val="00831801"/>
    <w:rsid w:val="00871C87"/>
    <w:rsid w:val="0089243D"/>
    <w:rsid w:val="008A787F"/>
    <w:rsid w:val="008C4DBC"/>
    <w:rsid w:val="008D5182"/>
    <w:rsid w:val="008E1C09"/>
    <w:rsid w:val="008F00C5"/>
    <w:rsid w:val="008F64E3"/>
    <w:rsid w:val="009221EE"/>
    <w:rsid w:val="00946563"/>
    <w:rsid w:val="0095085B"/>
    <w:rsid w:val="00996368"/>
    <w:rsid w:val="009A7FA4"/>
    <w:rsid w:val="009C388B"/>
    <w:rsid w:val="009C497B"/>
    <w:rsid w:val="009C7033"/>
    <w:rsid w:val="00A32D86"/>
    <w:rsid w:val="00A42BD4"/>
    <w:rsid w:val="00A57330"/>
    <w:rsid w:val="00A82A6D"/>
    <w:rsid w:val="00A848FE"/>
    <w:rsid w:val="00AA6E0E"/>
    <w:rsid w:val="00AD38DE"/>
    <w:rsid w:val="00AD67F2"/>
    <w:rsid w:val="00AE2DE1"/>
    <w:rsid w:val="00B0463F"/>
    <w:rsid w:val="00B24E25"/>
    <w:rsid w:val="00B54FB4"/>
    <w:rsid w:val="00B652A7"/>
    <w:rsid w:val="00B65E19"/>
    <w:rsid w:val="00B723C3"/>
    <w:rsid w:val="00BB0CB7"/>
    <w:rsid w:val="00BC195C"/>
    <w:rsid w:val="00BC6CFA"/>
    <w:rsid w:val="00BD6506"/>
    <w:rsid w:val="00BE09C8"/>
    <w:rsid w:val="00C37494"/>
    <w:rsid w:val="00C507D3"/>
    <w:rsid w:val="00CB57EF"/>
    <w:rsid w:val="00D175EE"/>
    <w:rsid w:val="00D818B4"/>
    <w:rsid w:val="00D81D35"/>
    <w:rsid w:val="00DD1A27"/>
    <w:rsid w:val="00DD7C3C"/>
    <w:rsid w:val="00DE16F6"/>
    <w:rsid w:val="00DF67A3"/>
    <w:rsid w:val="00E0405D"/>
    <w:rsid w:val="00E455F1"/>
    <w:rsid w:val="00E47ACD"/>
    <w:rsid w:val="00E673A8"/>
    <w:rsid w:val="00E763C2"/>
    <w:rsid w:val="00E9001C"/>
    <w:rsid w:val="00E91EF3"/>
    <w:rsid w:val="00EB0191"/>
    <w:rsid w:val="00EF4BAE"/>
    <w:rsid w:val="00F16039"/>
    <w:rsid w:val="00F17571"/>
    <w:rsid w:val="00F24ED3"/>
    <w:rsid w:val="00F32B70"/>
    <w:rsid w:val="00F47D04"/>
    <w:rsid w:val="00F54910"/>
    <w:rsid w:val="00F57A4C"/>
    <w:rsid w:val="00F6180C"/>
    <w:rsid w:val="00FA091F"/>
    <w:rsid w:val="00FA242D"/>
    <w:rsid w:val="00FB0CA5"/>
    <w:rsid w:val="00FD2177"/>
    <w:rsid w:val="00FD48C7"/>
    <w:rsid w:val="00FD64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46CF0"/>
  <w15:chartTrackingRefBased/>
  <w15:docId w15:val="{23255FA7-E1A1-4535-8AEA-5E7F500B2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608"/>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4D7608"/>
    <w:pPr>
      <w:spacing w:before="64" w:after="64"/>
      <w:ind w:firstLine="319"/>
      <w:jc w:val="both"/>
    </w:pPr>
    <w:rPr>
      <w:lang w:val="en-US" w:eastAsia="en-US"/>
    </w:rPr>
  </w:style>
  <w:style w:type="paragraph" w:customStyle="1" w:styleId="naisnod">
    <w:name w:val="naisnod"/>
    <w:basedOn w:val="Normal"/>
    <w:rsid w:val="004D7608"/>
    <w:pPr>
      <w:spacing w:before="150" w:after="150"/>
      <w:jc w:val="center"/>
    </w:pPr>
    <w:rPr>
      <w:b/>
      <w:bCs/>
    </w:rPr>
  </w:style>
  <w:style w:type="paragraph" w:customStyle="1" w:styleId="naiskr">
    <w:name w:val="naiskr"/>
    <w:basedOn w:val="Normal"/>
    <w:rsid w:val="004D7608"/>
    <w:pPr>
      <w:spacing w:before="75" w:after="75"/>
    </w:pPr>
  </w:style>
  <w:style w:type="paragraph" w:styleId="NormalWeb">
    <w:name w:val="Normal (Web)"/>
    <w:basedOn w:val="Normal"/>
    <w:uiPriority w:val="99"/>
    <w:semiHidden/>
    <w:unhideWhenUsed/>
    <w:rsid w:val="0044511A"/>
    <w:pPr>
      <w:spacing w:before="100" w:beforeAutospacing="1" w:after="100" w:afterAutospacing="1"/>
    </w:pPr>
  </w:style>
  <w:style w:type="paragraph" w:styleId="Header">
    <w:name w:val="header"/>
    <w:basedOn w:val="Normal"/>
    <w:link w:val="HeaderChar"/>
    <w:uiPriority w:val="99"/>
    <w:unhideWhenUsed/>
    <w:rsid w:val="00DF67A3"/>
    <w:pPr>
      <w:tabs>
        <w:tab w:val="center" w:pos="4153"/>
        <w:tab w:val="right" w:pos="8306"/>
      </w:tabs>
    </w:pPr>
  </w:style>
  <w:style w:type="character" w:customStyle="1" w:styleId="HeaderChar">
    <w:name w:val="Header Char"/>
    <w:basedOn w:val="DefaultParagraphFont"/>
    <w:link w:val="Header"/>
    <w:uiPriority w:val="99"/>
    <w:rsid w:val="00DF67A3"/>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DF67A3"/>
    <w:pPr>
      <w:tabs>
        <w:tab w:val="center" w:pos="4153"/>
        <w:tab w:val="right" w:pos="8306"/>
      </w:tabs>
    </w:pPr>
  </w:style>
  <w:style w:type="character" w:customStyle="1" w:styleId="FooterChar">
    <w:name w:val="Footer Char"/>
    <w:basedOn w:val="DefaultParagraphFont"/>
    <w:link w:val="Footer"/>
    <w:uiPriority w:val="99"/>
    <w:rsid w:val="00DF67A3"/>
    <w:rPr>
      <w:rFonts w:ascii="Times New Roman" w:eastAsia="Times New Roman" w:hAnsi="Times New Roman" w:cs="Times New Roman"/>
      <w:sz w:val="24"/>
      <w:szCs w:val="24"/>
      <w:lang w:eastAsia="lv-LV"/>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48773D"/>
    <w:pPr>
      <w:widowControl w:val="0"/>
    </w:pPr>
    <w:rPr>
      <w:rFonts w:ascii="Calibri" w:eastAsia="Calibri" w:hAnsi="Calibri"/>
      <w:sz w:val="20"/>
      <w:szCs w:val="20"/>
      <w:lang w:val="en-US" w:eastAsia="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48773D"/>
    <w:rPr>
      <w:rFonts w:ascii="Calibri" w:eastAsia="Calibri" w:hAnsi="Calibri" w:cs="Times New Roman"/>
      <w:sz w:val="20"/>
      <w:szCs w:val="20"/>
      <w:lang w:val="en-US"/>
    </w:rPr>
  </w:style>
  <w:style w:type="paragraph" w:styleId="ListParagraph">
    <w:name w:val="List Paragraph"/>
    <w:basedOn w:val="Normal"/>
    <w:uiPriority w:val="34"/>
    <w:qFormat/>
    <w:rsid w:val="00413A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91960">
      <w:bodyDiv w:val="1"/>
      <w:marLeft w:val="0"/>
      <w:marRight w:val="0"/>
      <w:marTop w:val="0"/>
      <w:marBottom w:val="0"/>
      <w:divBdr>
        <w:top w:val="none" w:sz="0" w:space="0" w:color="auto"/>
        <w:left w:val="none" w:sz="0" w:space="0" w:color="auto"/>
        <w:bottom w:val="none" w:sz="0" w:space="0" w:color="auto"/>
        <w:right w:val="none" w:sz="0" w:space="0" w:color="auto"/>
      </w:divBdr>
    </w:div>
    <w:div w:id="475419382">
      <w:bodyDiv w:val="1"/>
      <w:marLeft w:val="0"/>
      <w:marRight w:val="0"/>
      <w:marTop w:val="0"/>
      <w:marBottom w:val="0"/>
      <w:divBdr>
        <w:top w:val="none" w:sz="0" w:space="0" w:color="auto"/>
        <w:left w:val="none" w:sz="0" w:space="0" w:color="auto"/>
        <w:bottom w:val="none" w:sz="0" w:space="0" w:color="auto"/>
        <w:right w:val="none" w:sz="0" w:space="0" w:color="auto"/>
      </w:divBdr>
    </w:div>
    <w:div w:id="1277831411">
      <w:bodyDiv w:val="1"/>
      <w:marLeft w:val="0"/>
      <w:marRight w:val="0"/>
      <w:marTop w:val="0"/>
      <w:marBottom w:val="0"/>
      <w:divBdr>
        <w:top w:val="none" w:sz="0" w:space="0" w:color="auto"/>
        <w:left w:val="none" w:sz="0" w:space="0" w:color="auto"/>
        <w:bottom w:val="none" w:sz="0" w:space="0" w:color="auto"/>
        <w:right w:val="none" w:sz="0" w:space="0" w:color="auto"/>
      </w:divBdr>
    </w:div>
    <w:div w:id="1343779252">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zeknes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rezeknesnovads.lv" TargetMode="External"/><Relationship Id="rId4" Type="http://schemas.openxmlformats.org/officeDocument/2006/relationships/webSettings" Target="webSettings.xml"/><Relationship Id="rId9" Type="http://schemas.openxmlformats.org/officeDocument/2006/relationships/hyperlink" Target="http://www.rezekne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3</Pages>
  <Words>8293</Words>
  <Characters>4728</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Ilona Turka</dc:creator>
  <cp:lastModifiedBy>Ilona Turka</cp:lastModifiedBy>
  <cp:revision>9</cp:revision>
  <cp:lastPrinted>2022-12-07T14:32:00Z</cp:lastPrinted>
  <dcterms:created xsi:type="dcterms:W3CDTF">2024-10-23T08:05:00Z</dcterms:created>
  <dcterms:modified xsi:type="dcterms:W3CDTF">2024-11-27T07:38:00Z</dcterms:modified>
</cp:coreProperties>
</file>