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colors1.xml" ContentType="application/vnd.ms-office.chartcolorstyle+xml"/>
  <Override PartName="/word/charts/chart/colors2.xml" ContentType="application/vnd.ms-office.chartcolorstyle+xml"/>
  <Override PartName="/word/charts/chart/style1.xml" ContentType="application/vnd.ms-office.chartstyle+xml"/>
  <Override PartName="/word/charts/chart/style2.xml" ContentType="application/vnd.ms-office.chartstyle+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tbl>
      <w:tblPr>
        <w:tblW w:w="9164" w:type="dxa"/>
        <w:tblInd w:w="521" w:type="dxa"/>
        <w:tblLayout w:type="fixed"/>
        <w:tblCellMar>
          <w:top w:w="55" w:type="dxa"/>
          <w:left w:w="55" w:type="dxa"/>
          <w:bottom w:w="55" w:type="dxa"/>
          <w:right w:w="55" w:type="dxa"/>
        </w:tblCellMar>
        <w:tblLook w:val="0000"/>
      </w:tblPr>
      <w:tblGrid>
        <w:gridCol w:w="2401"/>
        <w:gridCol w:w="6763"/>
      </w:tblGrid>
      <w:tr w14:paraId="6270B497" w14:textId="77777777" w:rsidTr="00213B1F">
        <w:tblPrEx>
          <w:tblW w:w="9164" w:type="dxa"/>
          <w:tblInd w:w="521" w:type="dxa"/>
          <w:tblLayout w:type="fixed"/>
          <w:tblCellMar>
            <w:top w:w="55" w:type="dxa"/>
            <w:left w:w="55" w:type="dxa"/>
            <w:bottom w:w="55" w:type="dxa"/>
            <w:right w:w="55" w:type="dxa"/>
          </w:tblCellMar>
          <w:tblLook w:val="0000"/>
        </w:tblPrEx>
        <w:trPr>
          <w:trHeight w:hRule="exact" w:val="2324"/>
        </w:trPr>
        <w:tc>
          <w:tcPr>
            <w:tcW w:w="2401" w:type="dxa"/>
          </w:tcPr>
          <w:p w:rsidR="008F4F19" w:rsidRPr="00431B7E" w:rsidP="004B5A0D" w14:paraId="6270B490" w14:textId="77777777">
            <w:pPr>
              <w:widowControl w:val="0"/>
              <w:suppressLineNumbers/>
              <w:suppressAutoHyphens/>
              <w:snapToGrid w:val="0"/>
              <w:jc w:val="center"/>
              <w:rPr>
                <w:rFonts w:ascii="Verdana" w:hAnsi="Verdana" w:cs="Arial"/>
                <w:b/>
                <w:caps/>
                <w:sz w:val="36"/>
                <w:szCs w:val="36"/>
                <w:lang w:eastAsia="ar-SA"/>
              </w:rPr>
            </w:pPr>
            <w:r w:rsidRPr="00431B7E">
              <w:rPr>
                <w:rFonts w:eastAsia="Lucida Sans Unicode"/>
                <w:noProof/>
              </w:rPr>
              <w:drawing>
                <wp:anchor distT="0" distB="0" distL="0" distR="0" simplePos="0" relativeHeight="251660288" behindDoc="0" locked="0" layoutInCell="1" allowOverlap="1">
                  <wp:simplePos x="0" y="0"/>
                  <wp:positionH relativeFrom="column">
                    <wp:posOffset>-1905</wp:posOffset>
                  </wp:positionH>
                  <wp:positionV relativeFrom="paragraph">
                    <wp:posOffset>0</wp:posOffset>
                  </wp:positionV>
                  <wp:extent cx="919480" cy="107569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19480" cy="107569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tc>
        <w:tc>
          <w:tcPr>
            <w:tcW w:w="6763" w:type="dxa"/>
          </w:tcPr>
          <w:p w:rsidR="008F4F19" w:rsidRPr="00431B7E" w:rsidP="004B5A0D" w14:paraId="6270B491" w14:textId="77777777">
            <w:pPr>
              <w:widowControl w:val="0"/>
              <w:shd w:val="clear" w:color="auto" w:fill="FFFFFF"/>
              <w:suppressAutoHyphens/>
              <w:snapToGrid w:val="0"/>
              <w:ind w:right="19"/>
              <w:jc w:val="center"/>
              <w:rPr>
                <w:rFonts w:ascii="Verdana" w:hAnsi="Verdana" w:cs="Arial"/>
                <w:b/>
                <w:caps/>
                <w:sz w:val="36"/>
                <w:szCs w:val="36"/>
                <w:lang w:eastAsia="ar-SA"/>
              </w:rPr>
            </w:pPr>
            <w:r w:rsidRPr="00431B7E">
              <w:rPr>
                <w:rFonts w:ascii="Verdana" w:hAnsi="Verdana" w:cs="Arial"/>
                <w:b/>
                <w:caps/>
                <w:sz w:val="36"/>
                <w:szCs w:val="36"/>
                <w:lang w:eastAsia="ar-SA"/>
              </w:rPr>
              <w:t xml:space="preserve">Rēzeknes novada </w:t>
            </w:r>
            <w:r w:rsidR="00213B1F">
              <w:rPr>
                <w:rFonts w:ascii="Verdana" w:hAnsi="Verdana" w:cs="Arial"/>
                <w:b/>
                <w:caps/>
                <w:sz w:val="36"/>
                <w:szCs w:val="36"/>
                <w:lang w:eastAsia="ar-SA"/>
              </w:rPr>
              <w:t>DOME</w:t>
            </w:r>
          </w:p>
          <w:p w:rsidR="008F4F19" w:rsidRPr="00431B7E" w:rsidP="004B5A0D" w14:paraId="6270B492" w14:textId="77777777">
            <w:pPr>
              <w:widowControl w:val="0"/>
              <w:shd w:val="clear" w:color="auto" w:fill="FFFFFF"/>
              <w:suppressAutoHyphens/>
              <w:snapToGrid w:val="0"/>
              <w:spacing w:before="119" w:after="113"/>
              <w:ind w:right="19"/>
              <w:jc w:val="center"/>
              <w:rPr>
                <w:rFonts w:ascii="Verdana" w:hAnsi="Verdana"/>
                <w:caps/>
                <w:sz w:val="18"/>
                <w:szCs w:val="18"/>
                <w:lang w:eastAsia="ar-SA"/>
              </w:rPr>
            </w:pPr>
            <w:r w:rsidRPr="00431B7E">
              <w:rPr>
                <w:rFonts w:ascii="Verdana" w:hAnsi="Verdana"/>
                <w:caps/>
                <w:sz w:val="18"/>
                <w:szCs w:val="18"/>
                <w:lang w:eastAsia="ar-SA"/>
              </w:rPr>
              <w:t>Reģ.Nr.90009112679</w:t>
            </w:r>
          </w:p>
          <w:p w:rsidR="008F4F19" w:rsidRPr="00431B7E" w:rsidP="004B5A0D" w14:paraId="6270B493" w14:textId="77777777">
            <w:pPr>
              <w:widowControl w:val="0"/>
              <w:shd w:val="clear" w:color="auto" w:fill="FFFFFF"/>
              <w:suppressAutoHyphens/>
              <w:snapToGrid w:val="0"/>
              <w:spacing w:before="60"/>
              <w:jc w:val="center"/>
              <w:rPr>
                <w:rFonts w:ascii="Verdana" w:hAnsi="Verdana"/>
                <w:sz w:val="18"/>
                <w:szCs w:val="18"/>
                <w:lang w:eastAsia="ar-SA"/>
              </w:rPr>
            </w:pPr>
            <w:r w:rsidRPr="00431B7E">
              <w:rPr>
                <w:rFonts w:ascii="Verdana" w:hAnsi="Verdana"/>
                <w:sz w:val="18"/>
                <w:szCs w:val="18"/>
                <w:lang w:eastAsia="ar-SA"/>
              </w:rPr>
              <w:t>Atbrīvošanas aleja 95A,  Rēzekne,  LV – 4601,</w:t>
            </w:r>
          </w:p>
          <w:p w:rsidR="008F4F19" w:rsidRPr="00431B7E" w:rsidP="004B5A0D" w14:paraId="6270B494" w14:textId="77777777">
            <w:pPr>
              <w:widowControl w:val="0"/>
              <w:shd w:val="clear" w:color="auto" w:fill="FFFFFF"/>
              <w:suppressAutoHyphens/>
              <w:snapToGrid w:val="0"/>
              <w:spacing w:before="60"/>
              <w:jc w:val="center"/>
              <w:rPr>
                <w:rFonts w:ascii="Verdana" w:hAnsi="Verdana"/>
                <w:sz w:val="18"/>
                <w:szCs w:val="18"/>
                <w:lang w:eastAsia="ar-SA"/>
              </w:rPr>
            </w:pPr>
            <w:r w:rsidRPr="00431B7E">
              <w:rPr>
                <w:rFonts w:ascii="Verdana" w:hAnsi="Verdana"/>
                <w:sz w:val="18"/>
                <w:szCs w:val="18"/>
                <w:lang w:eastAsia="ar-SA"/>
              </w:rPr>
              <w:t>Tel. 646 22</w:t>
            </w:r>
            <w:r w:rsidR="00000F2A">
              <w:rPr>
                <w:rFonts w:ascii="Verdana" w:hAnsi="Verdana"/>
                <w:sz w:val="18"/>
                <w:szCs w:val="18"/>
                <w:lang w:eastAsia="ar-SA"/>
              </w:rPr>
              <w:t>238,</w:t>
            </w:r>
            <w:r w:rsidR="005301E9">
              <w:rPr>
                <w:rFonts w:ascii="Verdana" w:hAnsi="Verdana"/>
                <w:sz w:val="18"/>
                <w:szCs w:val="18"/>
                <w:lang w:eastAsia="ar-SA"/>
              </w:rPr>
              <w:t xml:space="preserve"> 646 22231</w:t>
            </w:r>
            <w:r w:rsidR="00000F2A">
              <w:rPr>
                <w:rFonts w:ascii="Verdana" w:hAnsi="Verdana"/>
                <w:sz w:val="18"/>
                <w:szCs w:val="18"/>
                <w:lang w:eastAsia="ar-SA"/>
              </w:rPr>
              <w:t xml:space="preserve">, </w:t>
            </w:r>
            <w:r w:rsidR="00000F2A">
              <w:rPr>
                <w:rFonts w:ascii="Verdana" w:hAnsi="Verdana"/>
                <w:sz w:val="18"/>
                <w:szCs w:val="18"/>
                <w:lang w:val="en-US" w:eastAsia="ar-SA"/>
              </w:rPr>
              <w:t>646 25935,</w:t>
            </w:r>
          </w:p>
          <w:p w:rsidR="008F4F19" w:rsidRPr="00431B7E" w:rsidP="004B5A0D" w14:paraId="6270B495" w14:textId="77777777">
            <w:pPr>
              <w:widowControl w:val="0"/>
              <w:shd w:val="clear" w:color="auto" w:fill="FFFFFF"/>
              <w:suppressAutoHyphens/>
              <w:snapToGrid w:val="0"/>
              <w:spacing w:before="60"/>
              <w:jc w:val="center"/>
              <w:rPr>
                <w:rFonts w:ascii="Verdana" w:hAnsi="Verdana"/>
                <w:sz w:val="18"/>
                <w:szCs w:val="18"/>
                <w:lang w:eastAsia="ar-SA"/>
              </w:rPr>
            </w:pPr>
            <w:r w:rsidRPr="00431B7E">
              <w:rPr>
                <w:rFonts w:ascii="Verdana" w:hAnsi="Verdana"/>
                <w:sz w:val="18"/>
                <w:szCs w:val="18"/>
                <w:lang w:eastAsia="ar-SA"/>
              </w:rPr>
              <w:t xml:space="preserve">E–pasts: </w:t>
            </w:r>
            <w:hyperlink r:id="rId8" w:history="1">
              <w:r w:rsidRPr="00431B7E">
                <w:rPr>
                  <w:rFonts w:ascii="Verdana" w:eastAsia="Lucida Sans Unicode" w:hAnsi="Verdana" w:cs="Tahoma"/>
                  <w:color w:val="0000FF"/>
                  <w:sz w:val="18"/>
                  <w:szCs w:val="18"/>
                  <w:u w:val="single"/>
                  <w:lang w:eastAsia="ar-SA"/>
                </w:rPr>
                <w:t>info@rezeknesnovads.lv</w:t>
              </w:r>
            </w:hyperlink>
          </w:p>
          <w:p w:rsidR="008F4F19" w:rsidRPr="00431B7E" w:rsidP="004B5A0D" w14:paraId="6270B496" w14:textId="77777777">
            <w:pPr>
              <w:widowControl w:val="0"/>
              <w:shd w:val="clear" w:color="auto" w:fill="FFFFFF"/>
              <w:suppressAutoHyphens/>
              <w:spacing w:before="120"/>
              <w:ind w:right="19"/>
              <w:jc w:val="center"/>
              <w:rPr>
                <w:rFonts w:eastAsia="Lucida Sans Unicode" w:cs="Tahoma"/>
                <w:lang w:eastAsia="ar-SA"/>
              </w:rPr>
            </w:pPr>
            <w:r w:rsidRPr="00431B7E">
              <w:rPr>
                <w:rFonts w:eastAsia="Lucida Sans Unicode" w:cs="Tahoma"/>
                <w:noProof/>
              </w:rPr>
              <mc:AlternateContent>
                <mc:Choice Requires="wps">
                  <w:drawing>
                    <wp:anchor distT="0" distB="0" distL="114300" distR="114300" simplePos="0" relativeHeight="251658240" behindDoc="0" locked="0" layoutInCell="1" allowOverlap="1">
                      <wp:simplePos x="0" y="0"/>
                      <wp:positionH relativeFrom="column">
                        <wp:posOffset>-1779270</wp:posOffset>
                      </wp:positionH>
                      <wp:positionV relativeFrom="paragraph">
                        <wp:posOffset>292064</wp:posOffset>
                      </wp:positionV>
                      <wp:extent cx="5950585" cy="0"/>
                      <wp:effectExtent l="9525" t="9525" r="12065" b="9525"/>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50585" cy="0"/>
                              </a:xfrm>
                              <a:prstGeom prst="line">
                                <a:avLst/>
                              </a:prstGeom>
                              <a:noFill/>
                              <a:ln w="9360">
                                <a:solidFill>
                                  <a:srgbClr val="000000"/>
                                </a:solidFill>
                                <a:miter lim="800000"/>
                                <a:headEnd/>
                                <a:tailEnd/>
                              </a:ln>
                              <a:effectLst/>
                              <a:extLst>
                                <a:ext xmlns:a="http://schemas.openxmlformats.org/drawingml/2006/main" uri="{909E8E84-426E-40DD-AFC4-6F175D3DCCD1}">
                                  <a14:hiddenFill xmlns:a14="http://schemas.microsoft.com/office/drawing/2010/main">
                                    <a:noFill/>
                                  </a14:hiddenFill>
                                </a:ex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5" style="mso-height-percent:0;mso-height-relative:page;mso-width-percent:0;mso-width-relative:page;mso-wrap-distance-bottom:0;mso-wrap-distance-left:9pt;mso-wrap-distance-right:9pt;mso-wrap-distance-top:0;mso-wrap-style:square;position:absolute;visibility:visible;z-index:251659264" from="-140.1pt,23pt" to="328.45pt,23pt" strokeweight="0.74pt">
                      <v:stroke joinstyle="miter"/>
                    </v:line>
                  </w:pict>
                </mc:Fallback>
              </mc:AlternateContent>
            </w:r>
            <w:r w:rsidRPr="00431B7E">
              <w:rPr>
                <w:rFonts w:ascii="Verdana" w:hAnsi="Verdana"/>
                <w:sz w:val="18"/>
                <w:szCs w:val="18"/>
                <w:lang w:eastAsia="ar-SA"/>
              </w:rPr>
              <w:t xml:space="preserve">Informācija Internetā:  </w:t>
            </w:r>
            <w:hyperlink r:id="rId9" w:history="1">
              <w:r w:rsidRPr="00431B7E">
                <w:rPr>
                  <w:rFonts w:ascii="Verdana" w:eastAsia="Lucida Sans Unicode" w:hAnsi="Verdana" w:cs="Tahoma"/>
                  <w:color w:val="0000FF"/>
                  <w:sz w:val="18"/>
                  <w:szCs w:val="18"/>
                  <w:u w:val="single"/>
                  <w:lang w:eastAsia="ar-SA"/>
                </w:rPr>
                <w:t>http://www.rezeknesnovads.lv</w:t>
              </w:r>
            </w:hyperlink>
          </w:p>
        </w:tc>
      </w:tr>
    </w:tbl>
    <w:p w:rsidR="008F4F19" w:rsidP="008F4F19" w14:paraId="6270B498" w14:textId="77777777">
      <w:pPr>
        <w:ind w:right="46"/>
        <w:jc w:val="center"/>
        <w:rPr>
          <w:b/>
          <w:bCs/>
        </w:rPr>
      </w:pPr>
      <w:r>
        <w:rPr>
          <w:b/>
          <w:bCs/>
        </w:rPr>
        <w:t xml:space="preserve">Paskaidrojuma raksts </w:t>
      </w:r>
    </w:p>
    <w:p w:rsidR="008F4F19" w:rsidP="008F4F19" w14:paraId="6270B49A" w14:textId="6B9DC5F3">
      <w:pPr>
        <w:jc w:val="center"/>
        <w:rPr>
          <w:b/>
        </w:rPr>
      </w:pPr>
      <w:r w:rsidRPr="00552DDA">
        <w:rPr>
          <w:b/>
        </w:rPr>
        <w:t>„Grozījumi Rēzeknes novada pašvaldības 2024.gada 1.februāra saistošajos noteikumos Nr.21 „Par Rēzeknes novada pašvaldības budžetu 2024.gadam””</w:t>
      </w:r>
    </w:p>
    <w:p w:rsidR="006126ED" w:rsidRPr="006126ED" w:rsidP="006126ED" w14:paraId="36E25A47" w14:textId="77777777">
      <w:pPr>
        <w:spacing w:after="120" w:line="240" w:lineRule="atLeast"/>
        <w:jc w:val="both"/>
        <w:rPr>
          <w:color w:val="FF0000"/>
          <w:sz w:val="20"/>
          <w:szCs w:val="20"/>
        </w:rPr>
      </w:pPr>
    </w:p>
    <w:p w:rsidR="006126ED" w:rsidRPr="006126ED" w:rsidP="006126ED" w14:paraId="24AE1FAD" w14:textId="77777777">
      <w:pPr>
        <w:spacing w:after="120" w:line="240" w:lineRule="atLeast"/>
        <w:ind w:firstLine="720"/>
        <w:jc w:val="both"/>
      </w:pPr>
      <w:r w:rsidRPr="006126ED">
        <w:t xml:space="preserve">Pašvaldības darbības finansiālo pamatu veido budžets, kas ir svarīgākais instruments pašvaldības autonomo funkciju izpildes nodrošināšanai, ekonomisko un sociālo vajadzību sabalansēšanai, kā arī teritorijas ilgtermiņa attīstībai. </w:t>
      </w:r>
    </w:p>
    <w:p w:rsidR="006126ED" w:rsidRPr="006126ED" w:rsidP="006126ED" w14:paraId="4701E712" w14:textId="77777777">
      <w:pPr>
        <w:spacing w:after="120" w:line="240" w:lineRule="atLeast"/>
        <w:ind w:firstLine="720"/>
        <w:jc w:val="both"/>
        <w:rPr>
          <w:rFonts w:eastAsia="Calibri"/>
          <w:lang w:eastAsia="en-US"/>
        </w:rPr>
      </w:pPr>
      <w:r w:rsidRPr="006126ED">
        <w:rPr>
          <w:rFonts w:eastAsia="Calibri"/>
          <w:lang w:eastAsia="en-US"/>
        </w:rPr>
        <w:t>Sastādot budžeta plānu pieejamie resursi tika izvietoti atbilstoši novada attīstības prioritātēm. Budžets tiek plānots ar piesardzības principu, tāpēc budžeta plāns nav balstīts uz nereāliem ieņēmumiem, kuru būtība varētu tikt apšaubīta un kuru neizpildes gadījumā būtiski tiktu kavēta pašvaldības funkciju izpilde.</w:t>
      </w:r>
    </w:p>
    <w:p w:rsidR="006126ED" w:rsidRPr="006126ED" w:rsidP="006126ED" w14:paraId="2F0A725C" w14:textId="77777777">
      <w:pPr>
        <w:autoSpaceDE w:val="0"/>
        <w:autoSpaceDN w:val="0"/>
        <w:adjustRightInd w:val="0"/>
        <w:spacing w:after="120" w:line="240" w:lineRule="atLeast"/>
        <w:ind w:firstLine="720"/>
        <w:jc w:val="both"/>
        <w:rPr>
          <w:rFonts w:eastAsia="Calibri"/>
          <w:lang w:eastAsia="en-US"/>
        </w:rPr>
      </w:pPr>
      <w:r w:rsidRPr="006126ED">
        <w:rPr>
          <w:rFonts w:eastAsia="Calibri"/>
          <w:lang w:eastAsia="en-US"/>
        </w:rPr>
        <w:t>Rēzeknes novada pašvaldības budžets sastāv no pamatbudžeta, ko veido attiecīgas ieņēmumu un izdevumu daļas. Pašvaldība ir ņēmusi vērā visu nozaru intereses un centusies sabalansēt pieejamos finanšu līdzekļus tā, lai nodrošinātu uzlabojumus sabiedrībai svarīgās jomās. Finanšu resursu izlietojuma plāna projekti ir saskaņoti ar attiecīgo iestāžu un struktūrvienību vadītājiem.</w:t>
      </w:r>
    </w:p>
    <w:p w:rsidR="006126ED" w:rsidRPr="006126ED" w:rsidP="006126ED" w14:paraId="3ED1FE93" w14:textId="4963557C">
      <w:pPr>
        <w:spacing w:after="120" w:line="240" w:lineRule="atLeast"/>
        <w:ind w:firstLine="720"/>
        <w:jc w:val="both"/>
        <w:rPr>
          <w:lang w:eastAsia="ar-SA"/>
        </w:rPr>
      </w:pPr>
      <w:r w:rsidRPr="006126ED">
        <w:rPr>
          <w:rFonts w:eastAsia="Calibri"/>
          <w:lang w:eastAsia="en-US"/>
        </w:rPr>
        <w:t xml:space="preserve">Skaitliskā informācija par Rēzeknes novada pašvaldības budžeta ieņēmumiem, izdevumiem, aizņēmumiem un galvojumiem ir norādīta Rēzeknes novada pašvaldības 2024.gada 19. decembra saistošajos noteikumos Nr.48 ”Grozījumi Rēzeknes novada pašvaldības 2024.gada 1.februāra saistošajos noteikumos Nr.21 „Par Rēzeknes novada pašvaldības budžetu 2024. gadam” 1., un 2. pielikumā. Pašvaldības budžeta izdevumi ir plānoti saskaņojot tos ar </w:t>
      </w:r>
      <w:r w:rsidRPr="006126ED">
        <w:rPr>
          <w:lang w:eastAsia="ar-SA"/>
        </w:rPr>
        <w:t>Rēzeknes novada un Rēzeknes valstspilsētas Attīstības programmu 2023. – 2029. gadam.</w:t>
      </w:r>
    </w:p>
    <w:p w:rsidR="006126ED" w:rsidRPr="006126ED" w:rsidP="006126ED" w14:paraId="19202E5D" w14:textId="77777777">
      <w:pPr>
        <w:spacing w:after="120" w:line="240" w:lineRule="atLeast"/>
        <w:ind w:firstLine="720"/>
        <w:jc w:val="both"/>
        <w:rPr>
          <w:color w:val="FF0000"/>
          <w:lang w:eastAsia="ar-SA"/>
        </w:rPr>
      </w:pPr>
    </w:p>
    <w:p w:rsidR="006126ED" w:rsidRPr="006126ED" w:rsidP="006126ED" w14:paraId="029F5AEA" w14:textId="77777777">
      <w:pPr>
        <w:spacing w:after="120" w:line="240" w:lineRule="atLeast"/>
        <w:ind w:firstLine="720"/>
        <w:jc w:val="center"/>
        <w:rPr>
          <w:rFonts w:eastAsia="Calibri"/>
          <w:b/>
          <w:lang w:eastAsia="en-US"/>
        </w:rPr>
      </w:pPr>
      <w:r w:rsidRPr="006126ED">
        <w:rPr>
          <w:rFonts w:eastAsia="Calibri"/>
          <w:b/>
          <w:lang w:eastAsia="en-US"/>
        </w:rPr>
        <w:t>Ieņēmumi</w:t>
      </w:r>
    </w:p>
    <w:p w:rsidR="006126ED" w:rsidRPr="006126ED" w:rsidP="006126ED" w14:paraId="366F6E2B" w14:textId="3E795CFA">
      <w:pPr>
        <w:spacing w:after="120" w:line="240" w:lineRule="atLeast"/>
        <w:jc w:val="center"/>
        <w:rPr>
          <w:rFonts w:eastAsia="Calibri"/>
          <w:bCs/>
          <w:lang w:eastAsia="en-US"/>
        </w:rPr>
      </w:pPr>
      <w:r w:rsidRPr="006126ED">
        <w:rPr>
          <w:rFonts w:eastAsia="Calibri"/>
          <w:bCs/>
          <w:lang w:eastAsia="en-US"/>
        </w:rPr>
        <w:t xml:space="preserve">Pamatbudžeta ieņēmumu izmaiņas ir plānotas EUR 293 609 (neieskaitot Valsts kases </w:t>
      </w:r>
      <w:r w:rsidRPr="006126ED">
        <w:rPr>
          <w:rFonts w:eastAsia="Calibri"/>
          <w:bCs/>
          <w:lang w:eastAsia="en-US"/>
        </w:rPr>
        <w:t>aizņēmumus) kopsummā un tās veido:</w:t>
      </w:r>
    </w:p>
    <w:p w:rsidR="006126ED" w:rsidRPr="006126ED" w:rsidP="006126ED" w14:paraId="6BE23313" w14:textId="64580F7B">
      <w:pPr>
        <w:numPr>
          <w:ilvl w:val="0"/>
          <w:numId w:val="8"/>
        </w:numPr>
        <w:suppressAutoHyphens/>
        <w:spacing w:after="120" w:line="240" w:lineRule="atLeast"/>
        <w:rPr>
          <w:rFonts w:eastAsia="Calibri"/>
          <w:bCs/>
          <w:lang w:eastAsia="en-US"/>
        </w:rPr>
      </w:pPr>
      <w:r w:rsidRPr="006126ED">
        <w:rPr>
          <w:rFonts w:eastAsia="Calibri"/>
          <w:bCs/>
          <w:lang w:eastAsia="en-US"/>
        </w:rPr>
        <w:t>Ieņēmumi no iestāžu sniegtajiem maksas pakalpojumiem (maksas par izglītības pakalpojumiem</w:t>
      </w:r>
      <w:r w:rsidRPr="00E72D2F">
        <w:rPr>
          <w:rFonts w:eastAsia="Calibri"/>
          <w:bCs/>
          <w:lang w:eastAsia="en-US"/>
        </w:rPr>
        <w:t>, ieņēmumiem par nomu un īri</w:t>
      </w:r>
      <w:r w:rsidRPr="006126ED">
        <w:rPr>
          <w:rFonts w:eastAsia="Calibri"/>
          <w:bCs/>
          <w:lang w:eastAsia="en-US"/>
        </w:rPr>
        <w:t>);</w:t>
      </w:r>
    </w:p>
    <w:p w:rsidR="006126ED" w:rsidRPr="00E72D2F" w:rsidP="006126ED" w14:paraId="5324B2E1" w14:textId="77777777">
      <w:pPr>
        <w:numPr>
          <w:ilvl w:val="0"/>
          <w:numId w:val="8"/>
        </w:numPr>
        <w:suppressAutoHyphens/>
        <w:spacing w:after="120" w:line="240" w:lineRule="atLeast"/>
        <w:rPr>
          <w:rFonts w:eastAsia="Calibri"/>
          <w:bCs/>
          <w:lang w:eastAsia="en-US"/>
        </w:rPr>
      </w:pPr>
      <w:r w:rsidRPr="006126ED">
        <w:rPr>
          <w:rFonts w:eastAsia="Calibri"/>
          <w:bCs/>
          <w:lang w:eastAsia="en-US"/>
        </w:rPr>
        <w:t>Valsts budžeta finansējuma izmaiņas pašvaldības realizētajos pasākumos un projektos</w:t>
      </w:r>
      <w:r w:rsidRPr="00E72D2F">
        <w:rPr>
          <w:rFonts w:eastAsia="Calibri"/>
          <w:bCs/>
          <w:lang w:eastAsia="en-US"/>
        </w:rPr>
        <w:t xml:space="preserve"> 2024. gadā</w:t>
      </w:r>
      <w:r w:rsidRPr="006126ED">
        <w:rPr>
          <w:rFonts w:eastAsia="Calibri"/>
          <w:bCs/>
          <w:lang w:eastAsia="en-US"/>
        </w:rPr>
        <w:t>;</w:t>
      </w:r>
    </w:p>
    <w:p w:rsidR="006126ED" w:rsidRPr="006126ED" w:rsidP="006126ED" w14:paraId="14D2ABA7" w14:textId="6E83914F">
      <w:pPr>
        <w:numPr>
          <w:ilvl w:val="0"/>
          <w:numId w:val="9"/>
        </w:numPr>
        <w:suppressAutoHyphens/>
        <w:spacing w:after="120" w:line="240" w:lineRule="atLeast"/>
        <w:jc w:val="both"/>
        <w:rPr>
          <w:lang w:eastAsia="ar-SA"/>
        </w:rPr>
      </w:pPr>
      <w:r w:rsidRPr="00E72D2F">
        <w:rPr>
          <w:rFonts w:eastAsia="Calibri"/>
          <w:bCs/>
          <w:lang w:eastAsia="en-US"/>
        </w:rPr>
        <w:t>I</w:t>
      </w:r>
      <w:r w:rsidRPr="006126ED">
        <w:rPr>
          <w:lang w:eastAsia="ar-SA"/>
        </w:rPr>
        <w:t>eņēm</w:t>
      </w:r>
      <w:r w:rsidRPr="00E72D2F">
        <w:rPr>
          <w:lang w:eastAsia="ar-SA"/>
        </w:rPr>
        <w:t xml:space="preserve">umiem </w:t>
      </w:r>
      <w:r w:rsidRPr="006126ED">
        <w:rPr>
          <w:lang w:eastAsia="ar-SA"/>
        </w:rPr>
        <w:t>no valsts un pašvaldības</w:t>
      </w:r>
      <w:r w:rsidRPr="00E72D2F">
        <w:rPr>
          <w:lang w:eastAsia="ar-SA"/>
        </w:rPr>
        <w:t xml:space="preserve"> nekust</w:t>
      </w:r>
      <w:r w:rsidR="00A95A99">
        <w:rPr>
          <w:lang w:eastAsia="ar-SA"/>
        </w:rPr>
        <w:t>a</w:t>
      </w:r>
      <w:r w:rsidRPr="00E72D2F">
        <w:rPr>
          <w:lang w:eastAsia="ar-SA"/>
        </w:rPr>
        <w:t>mā un</w:t>
      </w:r>
      <w:r w:rsidRPr="006126ED">
        <w:rPr>
          <w:lang w:eastAsia="ar-SA"/>
        </w:rPr>
        <w:t xml:space="preserve"> kustamā īpašuma</w:t>
      </w:r>
      <w:r w:rsidRPr="00E72D2F">
        <w:rPr>
          <w:lang w:eastAsia="ar-SA"/>
        </w:rPr>
        <w:t xml:space="preserve"> atsavināšanas</w:t>
      </w:r>
      <w:r w:rsidRPr="006126ED">
        <w:rPr>
          <w:lang w:eastAsia="ar-SA"/>
        </w:rPr>
        <w:t>.</w:t>
      </w:r>
    </w:p>
    <w:p w:rsidR="006126ED" w:rsidRPr="006126ED" w:rsidP="00E72D2F" w14:paraId="5FCE4D5F" w14:textId="710FDCAA">
      <w:pPr>
        <w:suppressAutoHyphens/>
        <w:spacing w:after="120" w:line="240" w:lineRule="atLeast"/>
        <w:ind w:left="1440"/>
        <w:rPr>
          <w:rFonts w:eastAsia="Calibri"/>
          <w:bCs/>
          <w:color w:val="FF0000"/>
          <w:lang w:eastAsia="en-US"/>
        </w:rPr>
      </w:pPr>
    </w:p>
    <w:p w:rsidR="006126ED" w:rsidRPr="00BE7131" w:rsidP="006126ED" w14:paraId="087B1DE4" w14:textId="77777777">
      <w:pPr>
        <w:spacing w:before="100" w:beforeAutospacing="1" w:after="120" w:line="240" w:lineRule="atLeast"/>
        <w:jc w:val="center"/>
        <w:rPr>
          <w:rFonts w:eastAsia="Calibri"/>
          <w:b/>
          <w:bCs/>
          <w:lang w:eastAsia="en-US"/>
        </w:rPr>
      </w:pPr>
      <w:r w:rsidRPr="00BE7131">
        <w:rPr>
          <w:rFonts w:eastAsia="Calibri"/>
          <w:b/>
          <w:bCs/>
          <w:lang w:eastAsia="en-US"/>
        </w:rPr>
        <w:t>Ieņēmumu izmaiņas 2024.gadam</w:t>
      </w:r>
    </w:p>
    <w:p w:rsidR="006126ED" w:rsidRPr="006126ED" w:rsidP="006126ED" w14:paraId="76366846" w14:textId="58D9789C">
      <w:pPr>
        <w:spacing w:before="100" w:beforeAutospacing="1" w:after="120" w:line="240" w:lineRule="atLeast"/>
        <w:ind w:firstLine="720"/>
        <w:jc w:val="center"/>
        <w:rPr>
          <w:color w:val="FF0000"/>
          <w:lang w:val="en-GB" w:eastAsia="ar-SA"/>
        </w:rPr>
      </w:pPr>
      <w:r>
        <w:rPr>
          <w:noProof/>
        </w:rPr>
        <w:drawing>
          <wp:inline distT="0" distB="0" distL="0" distR="0">
            <wp:extent cx="4572000" cy="3052763"/>
            <wp:effectExtent l="0" t="0" r="0" b="14605"/>
            <wp:docPr id="1621752490" name="Chart 1">
              <a:extLst xmlns:a="http://schemas.openxmlformats.org/drawingml/2006/main">
                <a:ext xmlns:a="http://schemas.openxmlformats.org/drawingml/2006/main" uri="{FF2B5EF4-FFF2-40B4-BE49-F238E27FC236}">
                  <a16:creationId xmlns:a16="http://schemas.microsoft.com/office/drawing/2014/main" id="{F49871B3-CACF-2D49-2FEC-F5E6518284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126ED" w:rsidRPr="006126ED" w:rsidP="006126ED" w14:paraId="204B4B54" w14:textId="0F43CF82">
      <w:pPr>
        <w:spacing w:after="120" w:line="240" w:lineRule="atLeast"/>
        <w:ind w:firstLine="720"/>
        <w:jc w:val="both"/>
        <w:rPr>
          <w:lang w:eastAsia="ar-SA"/>
        </w:rPr>
      </w:pPr>
      <w:r w:rsidRPr="006126ED">
        <w:rPr>
          <w:lang w:eastAsia="ar-SA"/>
        </w:rPr>
        <w:t>Ņemot vērā budžeta ieņēmumu daļas izpildi un ieņēmumu prognozes</w:t>
      </w:r>
      <w:r w:rsidRPr="00E72D2F" w:rsidR="00E72D2F">
        <w:rPr>
          <w:lang w:eastAsia="ar-SA"/>
        </w:rPr>
        <w:t xml:space="preserve"> 2024. gadam</w:t>
      </w:r>
      <w:r w:rsidRPr="006126ED">
        <w:rPr>
          <w:lang w:eastAsia="ar-SA"/>
        </w:rPr>
        <w:t xml:space="preserve"> ir veiktas izmaiņas sekojošās ieņēmumu daļas pozīcijās:</w:t>
      </w:r>
    </w:p>
    <w:p w:rsidR="006126ED" w:rsidRPr="006126ED" w:rsidP="006126ED" w14:paraId="03959FC6" w14:textId="7F498145">
      <w:pPr>
        <w:numPr>
          <w:ilvl w:val="0"/>
          <w:numId w:val="9"/>
        </w:numPr>
        <w:suppressAutoHyphens/>
        <w:spacing w:after="120" w:line="240" w:lineRule="atLeast"/>
        <w:ind w:hanging="357"/>
        <w:jc w:val="both"/>
        <w:rPr>
          <w:lang w:eastAsia="ar-SA"/>
        </w:rPr>
      </w:pPr>
      <w:r w:rsidRPr="006126ED">
        <w:rPr>
          <w:lang w:eastAsia="ar-SA"/>
        </w:rPr>
        <w:t xml:space="preserve">Pašvaldības saņemto valsts budžeta transfertu daļa palielināta par EUR  </w:t>
      </w:r>
      <w:r w:rsidRPr="00A95A99" w:rsidR="00A95A99">
        <w:rPr>
          <w:lang w:eastAsia="ar-SA"/>
        </w:rPr>
        <w:t>165 199</w:t>
      </w:r>
      <w:r w:rsidRPr="006126ED">
        <w:rPr>
          <w:lang w:eastAsia="ar-SA"/>
        </w:rPr>
        <w:t xml:space="preserve"> EUR.  Palielinājums ir skaidrojams ar:</w:t>
      </w:r>
    </w:p>
    <w:p w:rsidR="006126ED" w:rsidRPr="006126ED" w:rsidP="006126ED" w14:paraId="1E1F22A2" w14:textId="544D3F2E">
      <w:pPr>
        <w:numPr>
          <w:ilvl w:val="1"/>
          <w:numId w:val="9"/>
        </w:numPr>
        <w:suppressAutoHyphens/>
        <w:spacing w:after="120" w:line="240" w:lineRule="atLeast"/>
        <w:ind w:hanging="357"/>
        <w:jc w:val="both"/>
        <w:rPr>
          <w:lang w:eastAsia="ar-SA"/>
        </w:rPr>
      </w:pPr>
      <w:r w:rsidRPr="00A95A99">
        <w:rPr>
          <w:lang w:eastAsia="ar-SA"/>
        </w:rPr>
        <w:t>Koriģēto valsts budžeta dotāciju sociālo aprūpes asistentu nodrošināšanai pašvaldībā;</w:t>
      </w:r>
    </w:p>
    <w:p w:rsidR="006126ED" w:rsidRPr="006126ED" w:rsidP="006126ED" w14:paraId="2B806111" w14:textId="77777777">
      <w:pPr>
        <w:numPr>
          <w:ilvl w:val="1"/>
          <w:numId w:val="9"/>
        </w:numPr>
        <w:suppressAutoHyphens/>
        <w:spacing w:after="120" w:line="240" w:lineRule="atLeast"/>
        <w:ind w:hanging="357"/>
        <w:jc w:val="both"/>
        <w:rPr>
          <w:lang w:eastAsia="ar-SA"/>
        </w:rPr>
      </w:pPr>
      <w:r w:rsidRPr="006126ED">
        <w:rPr>
          <w:lang w:eastAsia="ar-SA"/>
        </w:rPr>
        <w:t>Koriģēto valsts budžeta dotāciju algotajiem pagaidu sabiedriskajiem darbiem;</w:t>
      </w:r>
    </w:p>
    <w:p w:rsidR="00A95A99" w:rsidRPr="00A95A99" w:rsidP="00A95A99" w14:paraId="071540E7" w14:textId="3215A497">
      <w:pPr>
        <w:numPr>
          <w:ilvl w:val="1"/>
          <w:numId w:val="9"/>
        </w:numPr>
        <w:suppressAutoHyphens/>
        <w:spacing w:after="120" w:line="240" w:lineRule="atLeast"/>
        <w:ind w:hanging="357"/>
        <w:jc w:val="both"/>
        <w:rPr>
          <w:lang w:eastAsia="ar-SA"/>
        </w:rPr>
      </w:pPr>
      <w:r w:rsidRPr="006126ED">
        <w:rPr>
          <w:lang w:eastAsia="ar-SA"/>
        </w:rPr>
        <w:t xml:space="preserve">Koriģēto valsts budžeta dotāciju </w:t>
      </w:r>
      <w:r w:rsidRPr="00A95A99">
        <w:rPr>
          <w:lang w:eastAsia="ar-SA"/>
        </w:rPr>
        <w:t>aktivitātei “Skolas soma”;</w:t>
      </w:r>
    </w:p>
    <w:p w:rsidR="00A95A99" w:rsidRPr="00A95A99" w:rsidP="00A95A99" w14:paraId="63723D42" w14:textId="1A4BBFDF">
      <w:pPr>
        <w:numPr>
          <w:ilvl w:val="1"/>
          <w:numId w:val="9"/>
        </w:numPr>
        <w:suppressAutoHyphens/>
        <w:spacing w:after="120" w:line="240" w:lineRule="atLeast"/>
        <w:ind w:hanging="357"/>
        <w:jc w:val="both"/>
        <w:rPr>
          <w:lang w:eastAsia="ar-SA"/>
        </w:rPr>
      </w:pPr>
      <w:r w:rsidRPr="00A95A99">
        <w:rPr>
          <w:lang w:eastAsia="ar-SA"/>
        </w:rPr>
        <w:t>Koriģēto valsts budžeta dotāciju kultūras kolektīvu vadītājiem;</w:t>
      </w:r>
    </w:p>
    <w:p w:rsidR="00A95A99" w:rsidRPr="006126ED" w:rsidP="00A95A99" w14:paraId="6A84D3E4" w14:textId="1AB6D659">
      <w:pPr>
        <w:numPr>
          <w:ilvl w:val="1"/>
          <w:numId w:val="9"/>
        </w:numPr>
        <w:suppressAutoHyphens/>
        <w:spacing w:after="120" w:line="240" w:lineRule="atLeast"/>
        <w:ind w:hanging="357"/>
        <w:jc w:val="both"/>
        <w:rPr>
          <w:lang w:eastAsia="ar-SA"/>
        </w:rPr>
      </w:pPr>
      <w:r w:rsidRPr="00A95A99">
        <w:rPr>
          <w:lang w:eastAsia="ar-SA"/>
        </w:rPr>
        <w:t xml:space="preserve">Koriģēto valsts budžeta dotāciju </w:t>
      </w:r>
      <w:r w:rsidRPr="00A95A99">
        <w:rPr>
          <w:lang w:eastAsia="ar-SA"/>
        </w:rPr>
        <w:t>projektam “Proti un dari”;</w:t>
      </w:r>
    </w:p>
    <w:p w:rsidR="006126ED" w:rsidRPr="006126ED" w:rsidP="006126ED" w14:paraId="0547183E" w14:textId="77777777">
      <w:pPr>
        <w:numPr>
          <w:ilvl w:val="1"/>
          <w:numId w:val="9"/>
        </w:numPr>
        <w:suppressAutoHyphens/>
        <w:spacing w:after="120" w:line="240" w:lineRule="atLeast"/>
        <w:ind w:hanging="357"/>
        <w:jc w:val="both"/>
        <w:rPr>
          <w:lang w:val="en-GB" w:eastAsia="ar-SA"/>
        </w:rPr>
      </w:pPr>
      <w:r w:rsidRPr="006126ED">
        <w:rPr>
          <w:lang w:val="en-GB" w:eastAsia="ar-SA"/>
        </w:rPr>
        <w:t>U.c.</w:t>
      </w:r>
    </w:p>
    <w:p w:rsidR="006126ED" w:rsidRPr="006126ED" w:rsidP="006126ED" w14:paraId="1379C3CA" w14:textId="27657003">
      <w:pPr>
        <w:numPr>
          <w:ilvl w:val="0"/>
          <w:numId w:val="9"/>
        </w:numPr>
        <w:suppressAutoHyphens/>
        <w:spacing w:after="120" w:line="240" w:lineRule="atLeast"/>
        <w:jc w:val="both"/>
        <w:rPr>
          <w:lang w:eastAsia="ar-SA"/>
        </w:rPr>
      </w:pPr>
      <w:r w:rsidRPr="006126ED">
        <w:rPr>
          <w:lang w:eastAsia="ar-SA"/>
        </w:rPr>
        <w:t xml:space="preserve">Maksas pakalpojumu un citu pašu ieņēmumu daļa palielināta par EUR  </w:t>
      </w:r>
      <w:r w:rsidRPr="00A95A99" w:rsidR="00A95A99">
        <w:rPr>
          <w:lang w:eastAsia="ar-SA"/>
        </w:rPr>
        <w:t>73 919</w:t>
      </w:r>
      <w:r w:rsidRPr="006126ED">
        <w:rPr>
          <w:lang w:eastAsia="ar-SA"/>
        </w:rPr>
        <w:t>. Izmaiņas veido ieņēmumu plāna izmaiņas pagastu pārvaldēs par papildus plānotajiem līdzekļiem maksām par izglītības pakalpojumiem, par ieņēmumiem par nomu un īri;</w:t>
      </w:r>
    </w:p>
    <w:p w:rsidR="006126ED" w:rsidRPr="006126ED" w:rsidP="006126ED" w14:paraId="4158D7E0" w14:textId="1321D7D1">
      <w:pPr>
        <w:numPr>
          <w:ilvl w:val="0"/>
          <w:numId w:val="9"/>
        </w:numPr>
        <w:suppressAutoHyphens/>
        <w:spacing w:after="120" w:line="240" w:lineRule="atLeast"/>
        <w:jc w:val="both"/>
        <w:rPr>
          <w:lang w:eastAsia="ar-SA"/>
        </w:rPr>
      </w:pPr>
      <w:r w:rsidRPr="006126ED">
        <w:rPr>
          <w:lang w:eastAsia="ar-SA"/>
        </w:rPr>
        <w:t xml:space="preserve">Nenodokļu ieņēmumu daļa palielināta par EUR </w:t>
      </w:r>
      <w:r w:rsidRPr="00A95A99" w:rsidR="00A95A99">
        <w:rPr>
          <w:lang w:eastAsia="ar-SA"/>
        </w:rPr>
        <w:t>54 491</w:t>
      </w:r>
      <w:r w:rsidRPr="006126ED">
        <w:rPr>
          <w:lang w:eastAsia="ar-SA"/>
        </w:rPr>
        <w:t xml:space="preserve">. Izmaiņas veiktas ieņēmumu pozīcijā ieņēmumi no valsts un pašvaldības </w:t>
      </w:r>
      <w:r w:rsidRPr="00A95A99" w:rsidR="00A95A99">
        <w:rPr>
          <w:lang w:eastAsia="ar-SA"/>
        </w:rPr>
        <w:t xml:space="preserve">nekustamā un </w:t>
      </w:r>
      <w:r w:rsidRPr="006126ED">
        <w:rPr>
          <w:lang w:eastAsia="ar-SA"/>
        </w:rPr>
        <w:t>kustamā īpašuma un mantas realizācijas.</w:t>
      </w:r>
    </w:p>
    <w:p w:rsidR="006126ED" w:rsidRPr="006126ED" w:rsidP="006126ED" w14:paraId="0286B099" w14:textId="77777777">
      <w:pPr>
        <w:spacing w:before="100" w:beforeAutospacing="1" w:after="120" w:line="240" w:lineRule="atLeast"/>
        <w:jc w:val="center"/>
        <w:rPr>
          <w:rFonts w:eastAsia="Calibri"/>
          <w:b/>
          <w:lang w:eastAsia="en-US"/>
        </w:rPr>
      </w:pPr>
      <w:r w:rsidRPr="006126ED">
        <w:rPr>
          <w:rFonts w:eastAsia="Calibri"/>
          <w:b/>
          <w:bCs/>
          <w:lang w:eastAsia="en-US"/>
        </w:rPr>
        <w:t>Izdevumu izmaiņas 2024.gadam</w:t>
      </w:r>
    </w:p>
    <w:p w:rsidR="006126ED" w:rsidRPr="006126ED" w:rsidP="006126ED" w14:paraId="043189CB" w14:textId="27B4A07B">
      <w:pPr>
        <w:spacing w:before="100" w:beforeAutospacing="1" w:after="120" w:line="240" w:lineRule="atLeast"/>
        <w:ind w:firstLine="720"/>
        <w:jc w:val="both"/>
        <w:rPr>
          <w:rFonts w:eastAsia="Calibri"/>
          <w:lang w:eastAsia="en-US"/>
        </w:rPr>
      </w:pPr>
      <w:r w:rsidRPr="006126ED">
        <w:rPr>
          <w:rFonts w:eastAsia="Calibri"/>
          <w:lang w:eastAsia="en-US"/>
        </w:rPr>
        <w:t xml:space="preserve">Pamatbudžeta izdevumu izmaiņas plānotas EUR </w:t>
      </w:r>
      <w:r w:rsidRPr="00E72D2F" w:rsidR="00E72D2F">
        <w:rPr>
          <w:rFonts w:eastAsia="Calibri"/>
          <w:lang w:eastAsia="en-US"/>
        </w:rPr>
        <w:t>226 571</w:t>
      </w:r>
      <w:r w:rsidRPr="006126ED">
        <w:rPr>
          <w:rFonts w:eastAsia="Calibri"/>
          <w:lang w:eastAsia="en-US"/>
        </w:rPr>
        <w:t xml:space="preserve"> apmērā (neskaitot Valsts kases aizņēmumu pamatsummas atmaksas).</w:t>
      </w:r>
    </w:p>
    <w:p w:rsidR="006126ED" w:rsidRPr="006126ED" w:rsidP="006126ED" w14:paraId="7B7FEAAA" w14:textId="0905D8A4">
      <w:pPr>
        <w:spacing w:before="100" w:beforeAutospacing="1" w:after="120" w:line="240" w:lineRule="atLeast"/>
        <w:ind w:firstLine="720"/>
        <w:jc w:val="center"/>
        <w:rPr>
          <w:rFonts w:eastAsia="Calibri"/>
          <w:bCs/>
          <w:color w:val="FF0000"/>
          <w:lang w:eastAsia="en-US"/>
        </w:rPr>
      </w:pPr>
      <w:r>
        <w:rPr>
          <w:noProof/>
        </w:rPr>
        <w:drawing>
          <wp:inline distT="0" distB="0" distL="0" distR="0">
            <wp:extent cx="5133975" cy="3324225"/>
            <wp:effectExtent l="0" t="0" r="9525" b="9525"/>
            <wp:docPr id="1685694104" name="Chart 1">
              <a:extLst xmlns:a="http://schemas.openxmlformats.org/drawingml/2006/main">
                <a:ext xmlns:a="http://schemas.openxmlformats.org/drawingml/2006/main" uri="{FF2B5EF4-FFF2-40B4-BE49-F238E27FC236}">
                  <a16:creationId xmlns:a16="http://schemas.microsoft.com/office/drawing/2014/main" id="{0AC14FB4-04D3-DFF3-F476-248FBD929D3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126ED" w:rsidRPr="00BE7131" w:rsidP="006126ED" w14:paraId="755A7C3F" w14:textId="77777777">
      <w:pPr>
        <w:spacing w:after="120" w:line="240" w:lineRule="atLeast"/>
        <w:ind w:firstLine="720"/>
        <w:jc w:val="both"/>
        <w:rPr>
          <w:rFonts w:eastAsia="Calibri"/>
          <w:bCs/>
          <w:lang w:eastAsia="en-US"/>
        </w:rPr>
      </w:pPr>
      <w:r w:rsidRPr="00BE7131">
        <w:rPr>
          <w:rFonts w:eastAsia="Calibri"/>
          <w:b/>
          <w:lang w:eastAsia="en-US"/>
        </w:rPr>
        <w:t>Vispārējie valdības dienesti</w:t>
      </w:r>
      <w:r w:rsidRPr="00BE7131">
        <w:rPr>
          <w:rFonts w:eastAsia="Calibri"/>
          <w:bCs/>
          <w:lang w:eastAsia="en-US"/>
        </w:rPr>
        <w:t xml:space="preserve"> </w:t>
      </w:r>
    </w:p>
    <w:p w:rsidR="00BE7131" w:rsidRPr="00BE7131" w:rsidP="006126ED" w14:paraId="4F0A631F" w14:textId="05DA300C">
      <w:pPr>
        <w:spacing w:after="120" w:line="240" w:lineRule="atLeast"/>
        <w:ind w:firstLine="720"/>
        <w:contextualSpacing/>
        <w:jc w:val="both"/>
        <w:rPr>
          <w:lang w:eastAsia="ar-SA"/>
        </w:rPr>
      </w:pPr>
      <w:r w:rsidRPr="00BE7131">
        <w:rPr>
          <w:rFonts w:eastAsia="Calibri"/>
          <w:bCs/>
          <w:lang w:eastAsia="en-US"/>
        </w:rPr>
        <w:t xml:space="preserve">Izdevumu </w:t>
      </w:r>
      <w:r w:rsidRPr="00BE7131">
        <w:rPr>
          <w:lang w:eastAsia="ar-SA"/>
        </w:rPr>
        <w:t>samazinājums skaidrojams ar transferta</w:t>
      </w:r>
      <w:r w:rsidRPr="00BE7131">
        <w:rPr>
          <w:lang w:eastAsia="ar-SA"/>
        </w:rPr>
        <w:t xml:space="preserve"> samazinājumu pagastu apvienībām par piešķirto pabalstu apmēru ēdināšanas pārējām izmaksām un ar transferta samazinājumu pagastu apvienībām par darbinieku ēdināšanas pārējām izmaksām.</w:t>
      </w:r>
    </w:p>
    <w:p w:rsidR="00BE7131" w:rsidP="006126ED" w14:paraId="238132B8" w14:textId="77777777">
      <w:pPr>
        <w:spacing w:after="120" w:line="240" w:lineRule="atLeast"/>
        <w:ind w:firstLine="720"/>
        <w:contextualSpacing/>
        <w:jc w:val="both"/>
        <w:rPr>
          <w:color w:val="FF0000"/>
          <w:lang w:eastAsia="ar-SA"/>
        </w:rPr>
      </w:pPr>
    </w:p>
    <w:p w:rsidR="006126ED" w:rsidRPr="00C33663" w:rsidP="006126ED" w14:paraId="3D412558" w14:textId="5C898A08">
      <w:pPr>
        <w:spacing w:after="120" w:line="240" w:lineRule="atLeast"/>
        <w:ind w:firstLine="720"/>
        <w:contextualSpacing/>
        <w:jc w:val="both"/>
        <w:rPr>
          <w:rFonts w:eastAsia="Calibri"/>
          <w:b/>
          <w:lang w:eastAsia="en-US"/>
        </w:rPr>
      </w:pPr>
      <w:r w:rsidRPr="00C33663">
        <w:rPr>
          <w:rFonts w:eastAsia="Calibri"/>
          <w:b/>
          <w:lang w:eastAsia="en-US"/>
        </w:rPr>
        <w:t xml:space="preserve">Ekonomiskā darbība </w:t>
      </w:r>
    </w:p>
    <w:p w:rsidR="006126ED" w:rsidP="006126ED" w14:paraId="0742703F" w14:textId="427AE5A6">
      <w:pPr>
        <w:spacing w:after="120" w:line="240" w:lineRule="atLeast"/>
        <w:ind w:firstLine="720"/>
        <w:contextualSpacing/>
        <w:jc w:val="both"/>
        <w:rPr>
          <w:rFonts w:eastAsia="Calibri"/>
          <w:bCs/>
          <w:lang w:eastAsia="en-US"/>
        </w:rPr>
      </w:pPr>
      <w:r w:rsidRPr="00C33663">
        <w:rPr>
          <w:rFonts w:eastAsia="Calibri"/>
          <w:bCs/>
          <w:lang w:eastAsia="en-US"/>
        </w:rPr>
        <w:t xml:space="preserve">Izdevumu samazinājums skaidrojams ar Nautrēnu apvienības pārvaldes veiktajiem budžeta grozījumiem, kas saistīti ar </w:t>
      </w:r>
      <w:r w:rsidRPr="00C33663" w:rsidR="00C33663">
        <w:rPr>
          <w:rFonts w:eastAsia="Calibri"/>
          <w:bCs/>
          <w:lang w:eastAsia="en-US"/>
        </w:rPr>
        <w:t>Audriņu kultūras nama remontdarbiem. Nekustamā īpašuma atsavināšanas iegūtie līdzekļi pēc domes lēmuma šajā gadījumā pārvirzīti uz FK “Atpūta, kultūra un reliģija”.</w:t>
      </w:r>
    </w:p>
    <w:p w:rsidR="00C33663" w:rsidRPr="00C33663" w:rsidP="006126ED" w14:paraId="5D937054" w14:textId="77777777">
      <w:pPr>
        <w:spacing w:after="120" w:line="240" w:lineRule="atLeast"/>
        <w:ind w:firstLine="720"/>
        <w:contextualSpacing/>
        <w:jc w:val="both"/>
        <w:rPr>
          <w:rFonts w:eastAsia="Calibri"/>
          <w:bCs/>
          <w:lang w:eastAsia="en-US"/>
        </w:rPr>
      </w:pPr>
    </w:p>
    <w:p w:rsidR="006126ED" w:rsidRPr="00412882" w:rsidP="006126ED" w14:paraId="1AD8DB1C" w14:textId="648819D7">
      <w:pPr>
        <w:spacing w:after="120" w:line="240" w:lineRule="atLeast"/>
        <w:ind w:firstLine="720"/>
        <w:contextualSpacing/>
        <w:jc w:val="both"/>
        <w:rPr>
          <w:rFonts w:eastAsia="Calibri"/>
          <w:b/>
          <w:lang w:eastAsia="en-US"/>
        </w:rPr>
      </w:pPr>
      <w:r w:rsidRPr="00412882">
        <w:rPr>
          <w:rFonts w:eastAsia="Calibri"/>
          <w:b/>
          <w:lang w:eastAsia="en-US"/>
        </w:rPr>
        <w:t>Veselība</w:t>
      </w:r>
    </w:p>
    <w:p w:rsidR="006126ED" w:rsidRPr="00412882" w:rsidP="006126ED" w14:paraId="0C5A79D2" w14:textId="0CF0EAAA">
      <w:pPr>
        <w:spacing w:after="120" w:line="240" w:lineRule="atLeast"/>
        <w:ind w:firstLine="720"/>
        <w:contextualSpacing/>
        <w:jc w:val="both"/>
        <w:rPr>
          <w:lang w:eastAsia="ar-SA"/>
        </w:rPr>
      </w:pPr>
      <w:r w:rsidRPr="00412882">
        <w:rPr>
          <w:rFonts w:eastAsia="Calibri"/>
          <w:bCs/>
          <w:lang w:eastAsia="en-US"/>
        </w:rPr>
        <w:t xml:space="preserve">Izdevumu </w:t>
      </w:r>
      <w:r w:rsidRPr="00412882">
        <w:rPr>
          <w:lang w:eastAsia="ar-SA"/>
        </w:rPr>
        <w:t xml:space="preserve">palielinājums skaidrojams ar </w:t>
      </w:r>
      <w:r w:rsidRPr="00412882" w:rsidR="00C33663">
        <w:rPr>
          <w:lang w:eastAsia="ar-SA"/>
        </w:rPr>
        <w:t>Nacionālā veselības dienesta dotācijas korekciju pagastu apvienības 2024. gadam.</w:t>
      </w:r>
    </w:p>
    <w:p w:rsidR="00C33663" w:rsidRPr="00412882" w:rsidP="006126ED" w14:paraId="3D6F4F46" w14:textId="77777777">
      <w:pPr>
        <w:spacing w:after="120" w:line="240" w:lineRule="atLeast"/>
        <w:ind w:firstLine="720"/>
        <w:contextualSpacing/>
        <w:jc w:val="both"/>
        <w:rPr>
          <w:rFonts w:eastAsia="Calibri"/>
          <w:bCs/>
          <w:lang w:eastAsia="en-US"/>
        </w:rPr>
      </w:pPr>
    </w:p>
    <w:p w:rsidR="006126ED" w:rsidRPr="00412882" w:rsidP="006126ED" w14:paraId="06002D0F" w14:textId="77777777">
      <w:pPr>
        <w:spacing w:after="120" w:line="240" w:lineRule="atLeast"/>
        <w:ind w:firstLine="720"/>
        <w:contextualSpacing/>
        <w:jc w:val="both"/>
        <w:rPr>
          <w:rFonts w:eastAsia="Calibri"/>
          <w:b/>
          <w:lang w:eastAsia="en-US"/>
        </w:rPr>
      </w:pPr>
      <w:r w:rsidRPr="00412882">
        <w:rPr>
          <w:rFonts w:eastAsia="Calibri"/>
          <w:b/>
          <w:lang w:eastAsia="en-US"/>
        </w:rPr>
        <w:t>Atpūta, kultūra un reliģija</w:t>
      </w:r>
    </w:p>
    <w:p w:rsidR="00412882" w:rsidRPr="00412882" w:rsidP="006126ED" w14:paraId="12F5762A" w14:textId="77777777">
      <w:pPr>
        <w:spacing w:after="120" w:line="240" w:lineRule="atLeast"/>
        <w:ind w:firstLine="720"/>
        <w:contextualSpacing/>
        <w:jc w:val="both"/>
        <w:rPr>
          <w:rFonts w:eastAsia="Calibri"/>
          <w:bCs/>
          <w:lang w:eastAsia="en-US"/>
        </w:rPr>
      </w:pPr>
      <w:r w:rsidRPr="00412882">
        <w:rPr>
          <w:rFonts w:eastAsia="Calibri"/>
          <w:bCs/>
          <w:lang w:eastAsia="en-US"/>
        </w:rPr>
        <w:t xml:space="preserve">Izdevumu pieaugums skaidrojams ar: </w:t>
      </w:r>
    </w:p>
    <w:p w:rsidR="00412882" w:rsidRPr="00412882" w:rsidP="00412882" w14:paraId="34CE0326" w14:textId="77777777">
      <w:pPr>
        <w:pStyle w:val="ListParagraph"/>
        <w:numPr>
          <w:ilvl w:val="0"/>
          <w:numId w:val="12"/>
        </w:numPr>
        <w:spacing w:after="120" w:line="240" w:lineRule="atLeast"/>
        <w:jc w:val="both"/>
        <w:rPr>
          <w:rFonts w:ascii="Times New Roman" w:eastAsia="Calibri" w:hAnsi="Times New Roman" w:cs="Times New Roman"/>
          <w:bCs/>
        </w:rPr>
      </w:pPr>
      <w:r w:rsidRPr="00412882">
        <w:rPr>
          <w:rFonts w:ascii="Times New Roman" w:eastAsia="Calibri" w:hAnsi="Times New Roman" w:cs="Times New Roman"/>
          <w:bCs/>
        </w:rPr>
        <w:t xml:space="preserve">Audriņu kultūras nama pārbūvi, ar precizētajiem </w:t>
      </w:r>
      <w:r w:rsidRPr="00412882">
        <w:rPr>
          <w:rFonts w:ascii="Times New Roman" w:hAnsi="Times New Roman" w:cs="Times New Roman"/>
          <w:bCs/>
        </w:rPr>
        <w:t>Lūznavas muižas kompleksa izdevumiem Maltas apvienības pārvaldē;</w:t>
      </w:r>
    </w:p>
    <w:p w:rsidR="00412882" w:rsidRPr="00412882" w:rsidP="00412882" w14:paraId="5BF3C7E3" w14:textId="610626B8">
      <w:pPr>
        <w:pStyle w:val="ListParagraph"/>
        <w:numPr>
          <w:ilvl w:val="0"/>
          <w:numId w:val="12"/>
        </w:numPr>
        <w:spacing w:after="120" w:line="240" w:lineRule="atLeast"/>
        <w:jc w:val="both"/>
        <w:rPr>
          <w:rFonts w:ascii="Times New Roman" w:eastAsia="Calibri" w:hAnsi="Times New Roman" w:cs="Times New Roman"/>
          <w:bCs/>
        </w:rPr>
      </w:pPr>
      <w:r w:rsidRPr="00412882">
        <w:rPr>
          <w:rFonts w:ascii="Times New Roman" w:hAnsi="Times New Roman" w:cs="Times New Roman"/>
          <w:bCs/>
        </w:rPr>
        <w:t xml:space="preserve">Ar </w:t>
      </w:r>
      <w:r w:rsidRPr="00412882">
        <w:rPr>
          <w:rFonts w:ascii="Times New Roman" w:hAnsi="Times New Roman" w:cs="Times New Roman"/>
          <w:lang w:eastAsia="ar-SA"/>
        </w:rPr>
        <w:t>koriģēto valsts budžeta dotāciju kultūras kolektīvu vadītājiem;</w:t>
      </w:r>
    </w:p>
    <w:p w:rsidR="00550013" w:rsidRPr="00412882" w:rsidP="00412882" w14:paraId="758411EA" w14:textId="3FA756D7">
      <w:pPr>
        <w:pStyle w:val="ListParagraph"/>
        <w:numPr>
          <w:ilvl w:val="0"/>
          <w:numId w:val="12"/>
        </w:numPr>
        <w:spacing w:after="120" w:line="240" w:lineRule="atLeast"/>
        <w:jc w:val="both"/>
        <w:rPr>
          <w:rFonts w:ascii="Times New Roman" w:eastAsia="Calibri" w:hAnsi="Times New Roman" w:cs="Times New Roman"/>
          <w:bCs/>
        </w:rPr>
      </w:pPr>
      <w:r w:rsidRPr="00412882">
        <w:rPr>
          <w:rFonts w:ascii="Times New Roman" w:hAnsi="Times New Roman" w:cs="Times New Roman"/>
          <w:lang w:eastAsia="ar-SA"/>
        </w:rPr>
        <w:t>Ar koriģētajiem kultūras namu un bibliotēku apkures izdevumiem.</w:t>
      </w:r>
    </w:p>
    <w:p w:rsidR="006126ED" w:rsidRPr="00412882" w:rsidP="006126ED" w14:paraId="0F76D0D6" w14:textId="65A13BE8">
      <w:pPr>
        <w:spacing w:after="120" w:line="240" w:lineRule="atLeast"/>
        <w:ind w:firstLine="720"/>
        <w:contextualSpacing/>
        <w:jc w:val="both"/>
        <w:rPr>
          <w:rFonts w:eastAsia="Calibri"/>
          <w:b/>
          <w:lang w:eastAsia="en-US"/>
        </w:rPr>
      </w:pPr>
      <w:r w:rsidRPr="00412882">
        <w:rPr>
          <w:rFonts w:eastAsia="Calibri"/>
          <w:b/>
          <w:lang w:eastAsia="en-US"/>
        </w:rPr>
        <w:t xml:space="preserve">Izglītība </w:t>
      </w:r>
    </w:p>
    <w:p w:rsidR="00550013" w:rsidRPr="00412882" w:rsidP="00550013" w14:paraId="3D79B49F" w14:textId="77777777">
      <w:pPr>
        <w:suppressAutoHyphens/>
        <w:spacing w:after="120" w:line="240" w:lineRule="atLeast"/>
        <w:ind w:firstLine="720"/>
        <w:jc w:val="both"/>
        <w:rPr>
          <w:rFonts w:eastAsia="Calibri"/>
          <w:lang w:eastAsia="en-US"/>
        </w:rPr>
      </w:pPr>
      <w:r w:rsidRPr="00412882">
        <w:rPr>
          <w:rFonts w:eastAsia="Calibri"/>
          <w:lang w:eastAsia="en-US"/>
        </w:rPr>
        <w:t>Izdevumu daļas palielinājums skaidrojams ar:</w:t>
      </w:r>
    </w:p>
    <w:p w:rsidR="00550013" w:rsidRPr="00412882" w:rsidP="00550013" w14:paraId="45928636" w14:textId="77777777">
      <w:pPr>
        <w:pStyle w:val="ListParagraph"/>
        <w:numPr>
          <w:ilvl w:val="0"/>
          <w:numId w:val="11"/>
        </w:numPr>
        <w:suppressAutoHyphens/>
        <w:spacing w:after="120" w:line="240" w:lineRule="atLeast"/>
        <w:jc w:val="both"/>
        <w:rPr>
          <w:rFonts w:ascii="Times New Roman" w:hAnsi="Times New Roman" w:cs="Times New Roman"/>
          <w:lang w:eastAsia="ar-SA"/>
        </w:rPr>
      </w:pPr>
      <w:r w:rsidRPr="00412882">
        <w:rPr>
          <w:rFonts w:ascii="Times New Roman" w:hAnsi="Times New Roman" w:cs="Times New Roman"/>
          <w:lang w:eastAsia="ar-SA"/>
        </w:rPr>
        <w:t>Koriģēto valsts budžeta dotāciju aktivitātei “Skolas soma”;</w:t>
      </w:r>
    </w:p>
    <w:p w:rsidR="00550013" w:rsidP="00412882" w14:paraId="42565553" w14:textId="0D4CBE1F">
      <w:pPr>
        <w:pStyle w:val="ListParagraph"/>
        <w:numPr>
          <w:ilvl w:val="0"/>
          <w:numId w:val="11"/>
        </w:numPr>
        <w:suppressAutoHyphens/>
        <w:spacing w:after="120" w:line="240" w:lineRule="atLeast"/>
        <w:jc w:val="both"/>
        <w:rPr>
          <w:rFonts w:ascii="Times New Roman" w:hAnsi="Times New Roman" w:cs="Times New Roman"/>
          <w:lang w:eastAsia="ar-SA"/>
        </w:rPr>
      </w:pPr>
      <w:r w:rsidRPr="00412882">
        <w:rPr>
          <w:rFonts w:ascii="Times New Roman" w:hAnsi="Times New Roman" w:cs="Times New Roman"/>
          <w:lang w:eastAsia="ar-SA"/>
        </w:rPr>
        <w:t>Koriģēto valsts budžeta dotāciju projektam “Proti un dari”;</w:t>
      </w:r>
    </w:p>
    <w:p w:rsidR="00412882" w:rsidRPr="00412882" w:rsidP="00412882" w14:paraId="62408579" w14:textId="77777777">
      <w:pPr>
        <w:pStyle w:val="ListParagraph"/>
        <w:numPr>
          <w:ilvl w:val="0"/>
          <w:numId w:val="11"/>
        </w:numPr>
        <w:suppressAutoHyphens/>
        <w:spacing w:after="120" w:line="240" w:lineRule="atLeast"/>
        <w:jc w:val="both"/>
        <w:rPr>
          <w:rFonts w:ascii="Times New Roman" w:hAnsi="Times New Roman" w:cs="Times New Roman"/>
          <w:lang w:eastAsia="ar-SA"/>
        </w:rPr>
      </w:pPr>
    </w:p>
    <w:p w:rsidR="006126ED" w:rsidRPr="00550013" w:rsidP="006126ED" w14:paraId="2D27E33B" w14:textId="6FF358C4">
      <w:pPr>
        <w:keepNext/>
        <w:tabs>
          <w:tab w:val="num" w:pos="432"/>
        </w:tabs>
        <w:suppressAutoHyphens/>
        <w:spacing w:line="240" w:lineRule="atLeast"/>
        <w:ind w:right="-873"/>
        <w:jc w:val="both"/>
        <w:outlineLvl w:val="0"/>
        <w:rPr>
          <w:b/>
          <w:lang w:eastAsia="ar-SA"/>
        </w:rPr>
      </w:pPr>
      <w:r>
        <w:rPr>
          <w:b/>
          <w:lang w:eastAsia="ar-SA"/>
        </w:rPr>
        <w:tab/>
      </w:r>
      <w:r>
        <w:rPr>
          <w:b/>
          <w:lang w:eastAsia="ar-SA"/>
        </w:rPr>
        <w:tab/>
      </w:r>
      <w:r w:rsidRPr="00550013">
        <w:rPr>
          <w:b/>
          <w:lang w:eastAsia="ar-SA"/>
        </w:rPr>
        <w:t>Sociālā aizsardzība</w:t>
      </w:r>
    </w:p>
    <w:p w:rsidR="00550013" w:rsidRPr="00550013" w:rsidP="00550013" w14:paraId="6D074F1A" w14:textId="795080A6">
      <w:pPr>
        <w:suppressAutoHyphens/>
        <w:spacing w:after="120" w:line="240" w:lineRule="atLeast"/>
        <w:ind w:firstLine="720"/>
        <w:jc w:val="both"/>
        <w:rPr>
          <w:lang w:eastAsia="ar-SA"/>
        </w:rPr>
      </w:pPr>
      <w:r w:rsidRPr="00550013">
        <w:rPr>
          <w:rFonts w:eastAsia="Calibri"/>
          <w:bCs/>
          <w:lang w:eastAsia="en-US"/>
        </w:rPr>
        <w:t xml:space="preserve">Izdevumu pieaugums skaidrojams ar </w:t>
      </w:r>
      <w:r w:rsidRPr="00550013">
        <w:rPr>
          <w:lang w:eastAsia="ar-SA"/>
        </w:rPr>
        <w:t xml:space="preserve">Koriģēto valsts budžeta </w:t>
      </w:r>
      <w:r w:rsidRPr="00550013">
        <w:rPr>
          <w:lang w:eastAsia="ar-SA"/>
        </w:rPr>
        <w:t>dotāciju sociālo aprūpes asistentu nodrošināšanai pašvaldībā 2024. gadam;</w:t>
      </w:r>
    </w:p>
    <w:p w:rsidR="00550013" w:rsidP="006126ED" w14:paraId="7C984E96" w14:textId="4C727BA6">
      <w:pPr>
        <w:spacing w:line="240" w:lineRule="atLeast"/>
        <w:ind w:firstLine="720"/>
        <w:jc w:val="both"/>
        <w:rPr>
          <w:rFonts w:eastAsia="Calibri"/>
          <w:bCs/>
          <w:color w:val="FF0000"/>
          <w:lang w:eastAsia="en-US"/>
        </w:rPr>
      </w:pPr>
    </w:p>
    <w:p w:rsidR="00550013" w:rsidP="006126ED" w14:paraId="2F35D24F" w14:textId="77777777">
      <w:pPr>
        <w:spacing w:line="240" w:lineRule="atLeast"/>
        <w:ind w:firstLine="720"/>
        <w:jc w:val="both"/>
        <w:rPr>
          <w:rFonts w:eastAsia="Calibri"/>
          <w:bCs/>
          <w:color w:val="FF0000"/>
          <w:lang w:eastAsia="en-US"/>
        </w:rPr>
      </w:pPr>
    </w:p>
    <w:p w:rsidR="006126ED" w:rsidRPr="006126ED" w:rsidP="006126ED" w14:paraId="73134023" w14:textId="7A0BBBF0">
      <w:pPr>
        <w:spacing w:line="240" w:lineRule="atLeast"/>
        <w:ind w:firstLine="720"/>
        <w:jc w:val="both"/>
        <w:rPr>
          <w:rFonts w:eastAsia="Calibri"/>
          <w:b/>
          <w:lang w:eastAsia="en-US"/>
        </w:rPr>
      </w:pPr>
      <w:r w:rsidRPr="006126ED">
        <w:rPr>
          <w:rFonts w:eastAsia="Calibri"/>
          <w:b/>
          <w:lang w:eastAsia="en-US"/>
        </w:rPr>
        <w:t>Ziedojumu budžets</w:t>
      </w:r>
    </w:p>
    <w:p w:rsidR="006126ED" w:rsidRPr="006126ED" w:rsidP="006126ED" w14:paraId="4490685D" w14:textId="1417709E">
      <w:pPr>
        <w:spacing w:line="240" w:lineRule="atLeast"/>
        <w:ind w:firstLine="720"/>
        <w:jc w:val="both"/>
        <w:rPr>
          <w:rFonts w:eastAsia="Calibri"/>
          <w:lang w:eastAsia="en-US"/>
        </w:rPr>
      </w:pPr>
      <w:r w:rsidRPr="006126ED">
        <w:rPr>
          <w:rFonts w:eastAsia="Calibri"/>
          <w:lang w:eastAsia="en-US"/>
        </w:rPr>
        <w:t>Ziedojumu budžetā tika plānoti izdevumi attiecīgi saņemtajiem ziedojumiem 2024. gadā. 2024. gada plānotie ieņēmumi sastāda 1 346 EUR, izdevumi sastāda 17 069 EUR un naudas līdzekļu atlikums gada sākumā sastāda 15 723 EUR.</w:t>
      </w:r>
    </w:p>
    <w:p w:rsidR="006126ED" w:rsidRPr="006126ED" w:rsidP="006126ED" w14:paraId="6B9494B7" w14:textId="77777777">
      <w:pPr>
        <w:suppressAutoHyphens/>
        <w:spacing w:line="240" w:lineRule="atLeast"/>
        <w:rPr>
          <w:color w:val="FF0000"/>
          <w:lang w:eastAsia="ar-SA"/>
        </w:rPr>
      </w:pPr>
    </w:p>
    <w:p w:rsidR="006126ED" w:rsidRPr="006126ED" w:rsidP="006126ED" w14:paraId="3E1A20F3" w14:textId="77777777">
      <w:pPr>
        <w:spacing w:after="120" w:line="240" w:lineRule="atLeast"/>
        <w:ind w:firstLine="720"/>
        <w:contextualSpacing/>
        <w:jc w:val="both"/>
        <w:rPr>
          <w:rFonts w:eastAsia="Calibri"/>
          <w:b/>
          <w:lang w:eastAsia="en-US"/>
        </w:rPr>
      </w:pPr>
      <w:r w:rsidRPr="006126ED">
        <w:rPr>
          <w:rFonts w:eastAsia="Calibri"/>
          <w:b/>
          <w:lang w:eastAsia="en-US"/>
        </w:rPr>
        <w:t>Pašvaldības aizņēmumi un galvojumi</w:t>
      </w:r>
    </w:p>
    <w:p w:rsidR="006126ED" w:rsidRPr="006126ED" w:rsidP="006126ED" w14:paraId="0B6ED67C" w14:textId="1F21FF8C">
      <w:pPr>
        <w:spacing w:after="120" w:line="240" w:lineRule="atLeast"/>
        <w:ind w:firstLine="720"/>
        <w:contextualSpacing/>
        <w:jc w:val="both"/>
        <w:rPr>
          <w:rFonts w:eastAsia="Calibri"/>
          <w:lang w:eastAsia="en-US"/>
        </w:rPr>
      </w:pPr>
      <w:r w:rsidRPr="006126ED">
        <w:rPr>
          <w:rFonts w:eastAsia="Calibri"/>
          <w:lang w:eastAsia="en-US"/>
        </w:rPr>
        <w:t>Uz 2024.gada 19. decembri pašvaldībai ir noslēgti  89 aizņēmumu un 9 galvojumu līgumi. Detalizēts Rēzeknes novada pašvaldības aizņēmumu un galvojumu atšifrējuma saraksts ir apskatāms Rēzeknes novada pašvaldības 2024.gada 19. decembra saistošo noteikumu Nr. 48 „Grozījumi Rēzeknes novada pašvaldības 2024. gada 1.februāra saistošajos noteikumos Nr.21 „Par Rēzeknes novada pašvaldības budžetu 2024.gadam”” 2. pielikumā.</w:t>
      </w:r>
    </w:p>
    <w:p w:rsidR="006126ED" w:rsidRPr="006126ED" w:rsidP="006126ED" w14:paraId="3626FC1C" w14:textId="77777777">
      <w:pPr>
        <w:spacing w:before="100" w:beforeAutospacing="1" w:after="120" w:line="240" w:lineRule="atLeast"/>
        <w:contextualSpacing/>
        <w:jc w:val="both"/>
        <w:rPr>
          <w:rFonts w:eastAsia="Calibri"/>
          <w:lang w:eastAsia="en-US"/>
        </w:rPr>
      </w:pPr>
      <w:r w:rsidRPr="006126ED">
        <w:rPr>
          <w:rFonts w:eastAsia="Calibri"/>
          <w:lang w:eastAsia="en-US"/>
        </w:rPr>
        <w:t>Pašvaldība paredz veikt sekojošus aizņēmumus 2024. gadā (kopā 1 590 368 EUR):</w:t>
      </w:r>
    </w:p>
    <w:p w:rsidR="006126ED" w:rsidRPr="006126ED" w:rsidP="006126ED" w14:paraId="10A28655" w14:textId="77777777">
      <w:pPr>
        <w:numPr>
          <w:ilvl w:val="0"/>
          <w:numId w:val="10"/>
        </w:numPr>
        <w:suppressAutoHyphens/>
        <w:spacing w:before="100" w:beforeAutospacing="1" w:after="120" w:line="240" w:lineRule="atLeast"/>
        <w:contextualSpacing/>
        <w:jc w:val="both"/>
        <w:rPr>
          <w:rFonts w:eastAsia="Calibri"/>
          <w:bCs/>
          <w:lang w:eastAsia="en-US"/>
        </w:rPr>
      </w:pPr>
      <w:r w:rsidRPr="006126ED">
        <w:rPr>
          <w:rFonts w:eastAsia="Calibri"/>
          <w:lang w:eastAsia="en-US"/>
        </w:rPr>
        <w:t>Nautrēnu apvienības pārvaldes ēkas Rogovkā energoefektivitātes uzlabošana EUR 136 860;</w:t>
      </w:r>
    </w:p>
    <w:p w:rsidR="006126ED" w:rsidRPr="006126ED" w:rsidP="006126ED" w14:paraId="46081B48" w14:textId="77777777">
      <w:pPr>
        <w:numPr>
          <w:ilvl w:val="0"/>
          <w:numId w:val="10"/>
        </w:numPr>
        <w:suppressAutoHyphens/>
        <w:spacing w:before="100" w:beforeAutospacing="1" w:after="120" w:line="240" w:lineRule="atLeast"/>
        <w:contextualSpacing/>
        <w:jc w:val="both"/>
        <w:rPr>
          <w:rFonts w:eastAsia="Calibri"/>
          <w:bCs/>
          <w:lang w:eastAsia="en-US"/>
        </w:rPr>
      </w:pPr>
      <w:r w:rsidRPr="006126ED">
        <w:rPr>
          <w:rFonts w:eastAsia="Calibri"/>
          <w:lang w:eastAsia="en-US"/>
        </w:rPr>
        <w:t>Maltas apvienības pārvaldes Maltas bibliotēkas ēkas energoefektivitātes uzlabošana EUR 159 982;</w:t>
      </w:r>
    </w:p>
    <w:p w:rsidR="006126ED" w:rsidRPr="006126ED" w:rsidP="006126ED" w14:paraId="400B8008" w14:textId="77777777">
      <w:pPr>
        <w:numPr>
          <w:ilvl w:val="0"/>
          <w:numId w:val="10"/>
        </w:numPr>
        <w:suppressAutoHyphens/>
        <w:spacing w:before="100" w:beforeAutospacing="1" w:after="120" w:line="240" w:lineRule="atLeast"/>
        <w:contextualSpacing/>
        <w:jc w:val="both"/>
        <w:rPr>
          <w:rFonts w:eastAsia="Calibri"/>
          <w:bCs/>
          <w:lang w:eastAsia="en-US"/>
        </w:rPr>
      </w:pPr>
      <w:r w:rsidRPr="006126ED">
        <w:rPr>
          <w:rFonts w:eastAsia="Calibri"/>
          <w:lang w:eastAsia="en-US"/>
        </w:rPr>
        <w:t>Nagļu tautas nama, t.sk. apvienības pārvaldes ēkas energoefektivitātes uzlabošana EUR 146 237;</w:t>
      </w:r>
    </w:p>
    <w:p w:rsidR="006126ED" w:rsidRPr="006126ED" w:rsidP="006126ED" w14:paraId="143B9BCF" w14:textId="77777777">
      <w:pPr>
        <w:numPr>
          <w:ilvl w:val="0"/>
          <w:numId w:val="10"/>
        </w:numPr>
        <w:suppressAutoHyphens/>
        <w:spacing w:before="100" w:beforeAutospacing="1" w:after="120" w:line="240" w:lineRule="atLeast"/>
        <w:contextualSpacing/>
        <w:jc w:val="both"/>
        <w:rPr>
          <w:rFonts w:eastAsia="Calibri"/>
          <w:bCs/>
          <w:lang w:eastAsia="en-US"/>
        </w:rPr>
      </w:pPr>
      <w:r w:rsidRPr="006126ED">
        <w:rPr>
          <w:rFonts w:eastAsia="Calibri"/>
          <w:lang w:eastAsia="en-US"/>
        </w:rPr>
        <w:t>Kaunatas apvienības pārvaldes ēkas Kaunatā energoefektivitātes uzlabošana EUR 276 946;</w:t>
      </w:r>
    </w:p>
    <w:p w:rsidR="006126ED" w:rsidRPr="006126ED" w:rsidP="006126ED" w14:paraId="4DD51310" w14:textId="77777777">
      <w:pPr>
        <w:numPr>
          <w:ilvl w:val="0"/>
          <w:numId w:val="10"/>
        </w:numPr>
        <w:suppressAutoHyphens/>
        <w:spacing w:before="100" w:beforeAutospacing="1" w:after="120" w:line="240" w:lineRule="atLeast"/>
        <w:contextualSpacing/>
        <w:jc w:val="both"/>
        <w:rPr>
          <w:rFonts w:eastAsia="Calibri"/>
          <w:bCs/>
          <w:lang w:eastAsia="en-US"/>
        </w:rPr>
      </w:pPr>
      <w:r w:rsidRPr="006126ED">
        <w:rPr>
          <w:rFonts w:eastAsia="Calibri"/>
          <w:lang w:eastAsia="en-US"/>
        </w:rPr>
        <w:t>Elektroautobusa iegāde Rēzeknes novada pašvaldībā, Viļānos EUR 138 711;</w:t>
      </w:r>
    </w:p>
    <w:p w:rsidR="006126ED" w:rsidRPr="006126ED" w:rsidP="006126ED" w14:paraId="024935DE" w14:textId="77777777">
      <w:pPr>
        <w:numPr>
          <w:ilvl w:val="0"/>
          <w:numId w:val="10"/>
        </w:numPr>
        <w:suppressAutoHyphens/>
        <w:spacing w:before="100" w:beforeAutospacing="1" w:after="120" w:line="240" w:lineRule="atLeast"/>
        <w:contextualSpacing/>
        <w:jc w:val="both"/>
        <w:rPr>
          <w:rFonts w:eastAsia="Calibri"/>
          <w:bCs/>
          <w:lang w:eastAsia="en-US"/>
        </w:rPr>
      </w:pPr>
      <w:r w:rsidRPr="006126ED">
        <w:rPr>
          <w:rFonts w:eastAsia="Calibri"/>
          <w:lang w:eastAsia="en-US"/>
        </w:rPr>
        <w:t>Dienas aprūpes centra un darbnīcu izveide Liepu ielā 2B, Viļānos un Grupu dzīvokļu būvniecība Liepu ielā 2B, Viļānos EUR 353 341;</w:t>
      </w:r>
    </w:p>
    <w:p w:rsidR="006126ED" w:rsidRPr="006126ED" w:rsidP="006126ED" w14:paraId="4DA42C16" w14:textId="77777777">
      <w:pPr>
        <w:numPr>
          <w:ilvl w:val="0"/>
          <w:numId w:val="10"/>
        </w:numPr>
        <w:suppressAutoHyphens/>
        <w:spacing w:before="100" w:beforeAutospacing="1" w:after="120" w:line="240" w:lineRule="atLeast"/>
        <w:contextualSpacing/>
        <w:jc w:val="both"/>
        <w:rPr>
          <w:rFonts w:eastAsia="Calibri"/>
          <w:bCs/>
          <w:lang w:eastAsia="en-US"/>
        </w:rPr>
      </w:pPr>
      <w:r w:rsidRPr="006126ED">
        <w:rPr>
          <w:rFonts w:eastAsia="Calibri"/>
          <w:lang w:eastAsia="en-US"/>
        </w:rPr>
        <w:t>Maltas bērnu un jauniešu centra ēkas energoefektivitātes paaugstināšana EUR 113 720;</w:t>
      </w:r>
    </w:p>
    <w:p w:rsidR="006126ED" w:rsidRPr="006126ED" w:rsidP="006126ED" w14:paraId="2E3C28CE" w14:textId="77777777">
      <w:pPr>
        <w:numPr>
          <w:ilvl w:val="0"/>
          <w:numId w:val="10"/>
        </w:numPr>
        <w:suppressAutoHyphens/>
        <w:spacing w:before="100" w:beforeAutospacing="1" w:after="120" w:line="240" w:lineRule="atLeast"/>
        <w:contextualSpacing/>
        <w:jc w:val="both"/>
        <w:rPr>
          <w:rFonts w:eastAsia="Calibri"/>
          <w:bCs/>
          <w:lang w:eastAsia="en-US"/>
        </w:rPr>
      </w:pPr>
      <w:r w:rsidRPr="006126ED">
        <w:rPr>
          <w:rFonts w:eastAsia="Calibri"/>
          <w:lang w:eastAsia="en-US"/>
        </w:rPr>
        <w:t xml:space="preserve">Viļānu mūzikas un mākslas </w:t>
      </w:r>
      <w:r w:rsidRPr="006126ED">
        <w:rPr>
          <w:rFonts w:eastAsia="Calibri"/>
          <w:lang w:eastAsia="en-US"/>
        </w:rPr>
        <w:t>skolas jaunās ēkas energoefektivitātes paaugstināšana EUR 252 871;</w:t>
      </w:r>
    </w:p>
    <w:p w:rsidR="006126ED" w:rsidRPr="006126ED" w:rsidP="006126ED" w14:paraId="54F62507" w14:textId="77777777">
      <w:pPr>
        <w:numPr>
          <w:ilvl w:val="0"/>
          <w:numId w:val="10"/>
        </w:numPr>
        <w:suppressAutoHyphens/>
        <w:spacing w:before="100" w:beforeAutospacing="1" w:after="120" w:line="240" w:lineRule="atLeast"/>
        <w:contextualSpacing/>
        <w:jc w:val="both"/>
        <w:rPr>
          <w:rFonts w:eastAsia="Calibri"/>
          <w:bCs/>
          <w:lang w:eastAsia="en-US"/>
        </w:rPr>
      </w:pPr>
      <w:r w:rsidRPr="006126ED">
        <w:rPr>
          <w:rFonts w:eastAsia="Calibri"/>
          <w:lang w:eastAsia="en-US"/>
        </w:rPr>
        <w:t>Lendžu administratīvās ēkas, t.sk. kultūras nama energoefektivitātes paaugstināšana EUR 11700;</w:t>
      </w:r>
    </w:p>
    <w:p w:rsidR="006126ED" w:rsidRPr="006126ED" w:rsidP="006126ED" w14:paraId="01F74E3F" w14:textId="77777777">
      <w:pPr>
        <w:spacing w:before="100" w:beforeAutospacing="1" w:after="120" w:line="240" w:lineRule="atLeast"/>
        <w:contextualSpacing/>
        <w:jc w:val="both"/>
      </w:pPr>
    </w:p>
    <w:p w:rsidR="00017366" w:rsidRPr="006126ED" w:rsidP="008F4F19" w14:paraId="2CB69ABC" w14:textId="77777777">
      <w:pPr>
        <w:ind w:right="46"/>
      </w:pPr>
    </w:p>
    <w:p w:rsidR="00981ABB" w:rsidRPr="006126ED" w:rsidP="000E6E55" w14:paraId="6270B4B9" w14:textId="7A2BCD62">
      <w:pPr>
        <w:ind w:left="-284" w:right="46"/>
      </w:pPr>
      <w:r w:rsidRPr="006126ED">
        <w:t>Domes priekšsēdētājs</w:t>
      </w:r>
      <w:r>
        <w:tab/>
      </w:r>
      <w:r>
        <w:tab/>
      </w:r>
      <w:r>
        <w:tab/>
      </w:r>
      <w:r>
        <w:tab/>
      </w:r>
      <w:r>
        <w:tab/>
      </w:r>
      <w:r>
        <w:tab/>
      </w:r>
      <w:r>
        <w:tab/>
      </w:r>
      <w:r w:rsidRPr="006126ED">
        <w:t xml:space="preserve"> Monvīds Švarcs</w:t>
      </w:r>
    </w:p>
    <w:sectPr w:rsidSect="001F7379">
      <w:headerReference w:type="even" r:id="rId12"/>
      <w:headerReference w:type="default" r:id="rId13"/>
      <w:footerReference w:type="even" r:id="rId14"/>
      <w:footerReference w:type="default" r:id="rId15"/>
      <w:headerReference w:type="first" r:id="rId16"/>
      <w:footerReference w:type="first" r:id="rId17"/>
      <w:pgSz w:w="11906" w:h="16838"/>
      <w:pgMar w:top="907" w:right="851" w:bottom="90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71E4" w14:paraId="6270B4C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4274613"/>
      <w:docPartObj>
        <w:docPartGallery w:val="Page Numbers (Bottom of Page)"/>
        <w:docPartUnique/>
      </w:docPartObj>
    </w:sdtPr>
    <w:sdtEndPr>
      <w:rPr>
        <w:noProof/>
      </w:rPr>
    </w:sdtEndPr>
    <w:sdtContent>
      <w:p w:rsidR="008B77E9" w14:paraId="6270B4C1" w14:textId="77777777">
        <w:pPr>
          <w:pStyle w:val="Footer"/>
          <w:jc w:val="center"/>
        </w:pPr>
        <w:r w:rsidRPr="008B77E9">
          <w:rPr>
            <w:sz w:val="16"/>
            <w:szCs w:val="16"/>
          </w:rPr>
          <w:fldChar w:fldCharType="begin"/>
        </w:r>
        <w:r w:rsidRPr="008B77E9">
          <w:rPr>
            <w:sz w:val="16"/>
            <w:szCs w:val="16"/>
          </w:rPr>
          <w:instrText xml:space="preserve"> PAGE   \* MERGEFORMAT </w:instrText>
        </w:r>
        <w:r w:rsidRPr="008B77E9">
          <w:rPr>
            <w:sz w:val="16"/>
            <w:szCs w:val="16"/>
          </w:rPr>
          <w:fldChar w:fldCharType="separate"/>
        </w:r>
        <w:r w:rsidR="00552DDA">
          <w:rPr>
            <w:noProof/>
            <w:sz w:val="16"/>
            <w:szCs w:val="16"/>
          </w:rPr>
          <w:t>1</w:t>
        </w:r>
        <w:r w:rsidRPr="008B77E9">
          <w:rPr>
            <w:noProof/>
            <w:sz w:val="16"/>
            <w:szCs w:val="16"/>
          </w:rPr>
          <w:fldChar w:fldCharType="end"/>
        </w:r>
      </w:p>
    </w:sdtContent>
  </w:sdt>
  <w:p w:rsidR="00096453" w14:paraId="6270B4C2" w14:textId="77777777"/>
  <w:p w:rsidR="00B570BA" w14:paraId="6270B4C3" w14:textId="77777777">
    <w:r>
      <w:t xml:space="preserve">          </w:t>
    </w:r>
  </w:p>
  <w:p>
    <w:pPr>
      <w:jc w:val="center"/>
    </w:pPr>
    <w:r>
      <w:rPr>
        <w:rFonts w:ascii="Calibri" w:eastAsia="Calibri" w:hAnsi="Calibri" w:cs="Calibri"/>
        <w:b w:val="0"/>
        <w:i w:val="0"/>
        <w:sz w:val="22"/>
      </w:rPr>
      <w:t>Šis dokuments ir parakstīts ar drošu elektronisko parakstu un satur laika zīmogu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96453" w14:paraId="6270B4C5" w14:textId="77777777">
    <w:r>
      <w:t xml:space="preserve">          Šis dokuments ir parakstīts ar drošu elektronisko parakstu un satur laika zīmogu</w:t>
    </w:r>
  </w:p>
  <w:p w:rsidR="00096453" w14:paraId="6270B4C6" w14:textId="77777777">
    <w:r>
      <w:t xml:space="preserve">          Šis dokuments ir parakstīts ar drošu elektronisko parakstu un satur laika zīmogu</w:t>
    </w:r>
  </w:p>
  <w:p w:rsidR="00B570BA" w14:paraId="6270B4C7" w14:textId="77777777">
    <w:r>
      <w:t xml:space="preserve">          Šis dokuments ir parakstīts ar drošu elektronisko parakstu un satur laika zīmogu</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71E4" w14:paraId="6270B4B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71E4" w14:paraId="6270B4B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71E4" w14:paraId="6270B4C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C12294"/>
    <w:multiLevelType w:val="hybridMultilevel"/>
    <w:tmpl w:val="05D2B70C"/>
    <w:lvl w:ilvl="0">
      <w:start w:val="1"/>
      <w:numFmt w:val="decimal"/>
      <w:lvlText w:val="%1."/>
      <w:lvlJc w:val="left"/>
      <w:pPr>
        <w:ind w:left="720" w:hanging="360"/>
      </w:pPr>
      <w:rPr>
        <w:rFonts w:hint="default"/>
        <w: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2F75116"/>
    <w:multiLevelType w:val="hybridMultilevel"/>
    <w:tmpl w:val="011CDB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BFC37CB"/>
    <w:multiLevelType w:val="hybridMultilevel"/>
    <w:tmpl w:val="307A0B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13A6629"/>
    <w:multiLevelType w:val="multilevel"/>
    <w:tmpl w:val="1AFA388E"/>
    <w:lvl w:ilvl="0">
      <w:start w:val="1"/>
      <w:numFmt w:val="decimal"/>
      <w:lvlText w:val="1.%1."/>
      <w:lvlJc w:val="left"/>
      <w:pPr>
        <w:ind w:left="1440" w:hanging="360"/>
      </w:pPr>
      <w:rPr>
        <w:rFonts w:hint="default"/>
        <w:b w:val="0"/>
        <w:bCs w:val="0"/>
      </w:rPr>
    </w:lvl>
    <w:lvl w:ilvl="1">
      <w:start w:val="1"/>
      <w:numFmt w:val="decimal"/>
      <w:lvlText w:val="1.5.%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4">
    <w:nsid w:val="2B19253F"/>
    <w:multiLevelType w:val="hybridMultilevel"/>
    <w:tmpl w:val="3A589E3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31A128F7"/>
    <w:multiLevelType w:val="multilevel"/>
    <w:tmpl w:val="1AFA388E"/>
    <w:lvl w:ilvl="0">
      <w:start w:val="1"/>
      <w:numFmt w:val="decimal"/>
      <w:lvlText w:val="1.%1."/>
      <w:lvlJc w:val="left"/>
      <w:pPr>
        <w:ind w:left="1440" w:hanging="360"/>
      </w:pPr>
      <w:rPr>
        <w:rFonts w:hint="default"/>
        <w:b w:val="0"/>
        <w:bCs w:val="0"/>
      </w:rPr>
    </w:lvl>
    <w:lvl w:ilvl="1">
      <w:start w:val="1"/>
      <w:numFmt w:val="decimal"/>
      <w:lvlText w:val="1.5.%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6">
    <w:nsid w:val="3E6E3714"/>
    <w:multiLevelType w:val="hybridMultilevel"/>
    <w:tmpl w:val="75C8DE3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40BE6AEB"/>
    <w:multiLevelType w:val="multilevel"/>
    <w:tmpl w:val="1AFA388E"/>
    <w:lvl w:ilvl="0">
      <w:start w:val="1"/>
      <w:numFmt w:val="decimal"/>
      <w:lvlText w:val="1.%1."/>
      <w:lvlJc w:val="left"/>
      <w:pPr>
        <w:ind w:left="1440" w:hanging="360"/>
      </w:pPr>
      <w:rPr>
        <w:rFonts w:hint="default"/>
        <w:b w:val="0"/>
        <w:bCs w:val="0"/>
      </w:rPr>
    </w:lvl>
    <w:lvl w:ilvl="1">
      <w:start w:val="1"/>
      <w:numFmt w:val="decimal"/>
      <w:lvlText w:val="1.5.%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8">
    <w:nsid w:val="4F5A7A6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6FEF7FE7"/>
    <w:multiLevelType w:val="hybridMultilevel"/>
    <w:tmpl w:val="2A4643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71855C26"/>
    <w:multiLevelType w:val="hybridMultilevel"/>
    <w:tmpl w:val="B1489092"/>
    <w:lvl w:ilvl="0">
      <w:start w:val="1"/>
      <w:numFmt w:val="decimal"/>
      <w:lvlText w:val="6.%1."/>
      <w:lvlJc w:val="left"/>
      <w:pPr>
        <w:ind w:left="21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94B073E"/>
    <w:multiLevelType w:val="multilevel"/>
    <w:tmpl w:val="CCC08D7A"/>
    <w:lvl w:ilvl="0">
      <w:start w:val="1"/>
      <w:numFmt w:val="decimal"/>
      <w:lvlText w:val="%1."/>
      <w:lvlJc w:val="left"/>
      <w:pPr>
        <w:ind w:left="360" w:hanging="360"/>
      </w:pPr>
      <w:rPr>
        <w:b w:val="0"/>
        <w:color w:val="auto"/>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58427361">
    <w:abstractNumId w:val="3"/>
  </w:num>
  <w:num w:numId="2" w16cid:durableId="691541478">
    <w:abstractNumId w:val="10"/>
  </w:num>
  <w:num w:numId="3" w16cid:durableId="913510362">
    <w:abstractNumId w:val="7"/>
  </w:num>
  <w:num w:numId="4" w16cid:durableId="868296710">
    <w:abstractNumId w:val="5"/>
  </w:num>
  <w:num w:numId="5" w16cid:durableId="48500025">
    <w:abstractNumId w:val="11"/>
  </w:num>
  <w:num w:numId="6" w16cid:durableId="495460148">
    <w:abstractNumId w:val="0"/>
  </w:num>
  <w:num w:numId="7" w16cid:durableId="1961765775">
    <w:abstractNumId w:val="8"/>
  </w:num>
  <w:num w:numId="8" w16cid:durableId="1948997732">
    <w:abstractNumId w:val="6"/>
  </w:num>
  <w:num w:numId="9" w16cid:durableId="837885456">
    <w:abstractNumId w:val="4"/>
  </w:num>
  <w:num w:numId="10" w16cid:durableId="818573811">
    <w:abstractNumId w:val="2"/>
  </w:num>
  <w:num w:numId="11" w16cid:durableId="697780985">
    <w:abstractNumId w:val="9"/>
  </w:num>
  <w:num w:numId="12" w16cid:durableId="493105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F19"/>
    <w:rsid w:val="00000F2A"/>
    <w:rsid w:val="00010709"/>
    <w:rsid w:val="00017366"/>
    <w:rsid w:val="0002306D"/>
    <w:rsid w:val="00031815"/>
    <w:rsid w:val="000526EA"/>
    <w:rsid w:val="0006037A"/>
    <w:rsid w:val="00096453"/>
    <w:rsid w:val="000A058D"/>
    <w:rsid w:val="000A4A1A"/>
    <w:rsid w:val="000B6E47"/>
    <w:rsid w:val="000C3181"/>
    <w:rsid w:val="000C7375"/>
    <w:rsid w:val="000D20B2"/>
    <w:rsid w:val="000D74FA"/>
    <w:rsid w:val="000E6E55"/>
    <w:rsid w:val="000F7BC9"/>
    <w:rsid w:val="001330F1"/>
    <w:rsid w:val="00157278"/>
    <w:rsid w:val="00194253"/>
    <w:rsid w:val="001B772F"/>
    <w:rsid w:val="001F7379"/>
    <w:rsid w:val="0020695E"/>
    <w:rsid w:val="002112D2"/>
    <w:rsid w:val="00213B1F"/>
    <w:rsid w:val="00246B88"/>
    <w:rsid w:val="00254829"/>
    <w:rsid w:val="00254897"/>
    <w:rsid w:val="002556A5"/>
    <w:rsid w:val="002663AB"/>
    <w:rsid w:val="00286493"/>
    <w:rsid w:val="002B3FEA"/>
    <w:rsid w:val="002B6932"/>
    <w:rsid w:val="002D696A"/>
    <w:rsid w:val="002E694E"/>
    <w:rsid w:val="002E7B12"/>
    <w:rsid w:val="002F56D9"/>
    <w:rsid w:val="00310FC5"/>
    <w:rsid w:val="00330DE1"/>
    <w:rsid w:val="00340053"/>
    <w:rsid w:val="00343F8C"/>
    <w:rsid w:val="003751F1"/>
    <w:rsid w:val="00391678"/>
    <w:rsid w:val="003A1225"/>
    <w:rsid w:val="003D6012"/>
    <w:rsid w:val="003E0A54"/>
    <w:rsid w:val="003E3FBA"/>
    <w:rsid w:val="003F7FCB"/>
    <w:rsid w:val="00412882"/>
    <w:rsid w:val="00431B7E"/>
    <w:rsid w:val="00441C04"/>
    <w:rsid w:val="00446A03"/>
    <w:rsid w:val="00447097"/>
    <w:rsid w:val="00464415"/>
    <w:rsid w:val="00477534"/>
    <w:rsid w:val="004B5A0D"/>
    <w:rsid w:val="004C3D33"/>
    <w:rsid w:val="004D5A12"/>
    <w:rsid w:val="004D7B8D"/>
    <w:rsid w:val="004E2172"/>
    <w:rsid w:val="004E3525"/>
    <w:rsid w:val="004E5120"/>
    <w:rsid w:val="0050526B"/>
    <w:rsid w:val="005301E9"/>
    <w:rsid w:val="00550013"/>
    <w:rsid w:val="00552DDA"/>
    <w:rsid w:val="00553B81"/>
    <w:rsid w:val="00554FAE"/>
    <w:rsid w:val="00594152"/>
    <w:rsid w:val="005B08D8"/>
    <w:rsid w:val="005D36FD"/>
    <w:rsid w:val="006126ED"/>
    <w:rsid w:val="00616DE7"/>
    <w:rsid w:val="00645B16"/>
    <w:rsid w:val="006B7D7B"/>
    <w:rsid w:val="006D4047"/>
    <w:rsid w:val="006E4DED"/>
    <w:rsid w:val="006F1A43"/>
    <w:rsid w:val="006F7119"/>
    <w:rsid w:val="00704A33"/>
    <w:rsid w:val="0073133C"/>
    <w:rsid w:val="00770935"/>
    <w:rsid w:val="00771547"/>
    <w:rsid w:val="00777EC7"/>
    <w:rsid w:val="007841E8"/>
    <w:rsid w:val="007909AD"/>
    <w:rsid w:val="007A4354"/>
    <w:rsid w:val="007B715A"/>
    <w:rsid w:val="007E17F2"/>
    <w:rsid w:val="007E3110"/>
    <w:rsid w:val="007F77D9"/>
    <w:rsid w:val="00834C65"/>
    <w:rsid w:val="008B77E9"/>
    <w:rsid w:val="008F4F19"/>
    <w:rsid w:val="0090381D"/>
    <w:rsid w:val="009108E1"/>
    <w:rsid w:val="00917703"/>
    <w:rsid w:val="009471E0"/>
    <w:rsid w:val="0096158F"/>
    <w:rsid w:val="00965134"/>
    <w:rsid w:val="00981ABB"/>
    <w:rsid w:val="009937BB"/>
    <w:rsid w:val="009B7575"/>
    <w:rsid w:val="009C1658"/>
    <w:rsid w:val="009E5EFF"/>
    <w:rsid w:val="009F6A4C"/>
    <w:rsid w:val="00A11AC8"/>
    <w:rsid w:val="00A3277D"/>
    <w:rsid w:val="00A42BD4"/>
    <w:rsid w:val="00A64040"/>
    <w:rsid w:val="00A85950"/>
    <w:rsid w:val="00A93564"/>
    <w:rsid w:val="00A936D2"/>
    <w:rsid w:val="00A95A99"/>
    <w:rsid w:val="00AD3246"/>
    <w:rsid w:val="00AE48D8"/>
    <w:rsid w:val="00AF10B3"/>
    <w:rsid w:val="00B07851"/>
    <w:rsid w:val="00B37F5B"/>
    <w:rsid w:val="00B570BA"/>
    <w:rsid w:val="00B6686A"/>
    <w:rsid w:val="00B77AA7"/>
    <w:rsid w:val="00B820C2"/>
    <w:rsid w:val="00B903C9"/>
    <w:rsid w:val="00BC5C66"/>
    <w:rsid w:val="00BD19BA"/>
    <w:rsid w:val="00BE7131"/>
    <w:rsid w:val="00BF729E"/>
    <w:rsid w:val="00C1151F"/>
    <w:rsid w:val="00C214FE"/>
    <w:rsid w:val="00C33663"/>
    <w:rsid w:val="00C470D0"/>
    <w:rsid w:val="00C55B55"/>
    <w:rsid w:val="00C76331"/>
    <w:rsid w:val="00C76645"/>
    <w:rsid w:val="00C93467"/>
    <w:rsid w:val="00C97230"/>
    <w:rsid w:val="00CA2821"/>
    <w:rsid w:val="00CC0A3D"/>
    <w:rsid w:val="00D25B9E"/>
    <w:rsid w:val="00D322D1"/>
    <w:rsid w:val="00D66702"/>
    <w:rsid w:val="00D66A47"/>
    <w:rsid w:val="00DB096F"/>
    <w:rsid w:val="00DC71E4"/>
    <w:rsid w:val="00DE7AFC"/>
    <w:rsid w:val="00E020E3"/>
    <w:rsid w:val="00E25581"/>
    <w:rsid w:val="00E547DD"/>
    <w:rsid w:val="00E71F37"/>
    <w:rsid w:val="00E72AE9"/>
    <w:rsid w:val="00E72D2F"/>
    <w:rsid w:val="00E8481D"/>
    <w:rsid w:val="00E91601"/>
    <w:rsid w:val="00E92F62"/>
    <w:rsid w:val="00EA3A2E"/>
    <w:rsid w:val="00ED5028"/>
    <w:rsid w:val="00F112B3"/>
    <w:rsid w:val="00F42914"/>
    <w:rsid w:val="00F9486B"/>
    <w:rsid w:val="00FB0437"/>
    <w:rsid w:val="00FB47A2"/>
    <w:rsid w:val="00FC6709"/>
    <w:rsid w:val="00FF532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270B490"/>
  <w15:chartTrackingRefBased/>
  <w15:docId w15:val="{605E8949-5598-4822-9CA5-C2C3B483C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4F19"/>
    <w:pPr>
      <w:spacing w:after="0" w:line="240" w:lineRule="auto"/>
    </w:pPr>
    <w:rPr>
      <w:rFonts w:ascii="Times New Roman" w:eastAsia="Times New Roman" w:hAnsi="Times New Roman" w:cs="Times New Roman"/>
      <w:sz w:val="24"/>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f">
    <w:name w:val="naisf"/>
    <w:basedOn w:val="Normal"/>
    <w:rsid w:val="008F4F19"/>
    <w:pPr>
      <w:spacing w:before="64" w:after="64"/>
      <w:ind w:firstLine="319"/>
      <w:jc w:val="both"/>
    </w:pPr>
    <w:rPr>
      <w:lang w:val="en-US" w:eastAsia="en-US"/>
    </w:rPr>
  </w:style>
  <w:style w:type="paragraph" w:customStyle="1" w:styleId="naisnod">
    <w:name w:val="naisnod"/>
    <w:basedOn w:val="Normal"/>
    <w:rsid w:val="008F4F19"/>
    <w:pPr>
      <w:spacing w:before="150" w:after="150"/>
      <w:jc w:val="center"/>
    </w:pPr>
    <w:rPr>
      <w:b/>
      <w:bCs/>
    </w:rPr>
  </w:style>
  <w:style w:type="paragraph" w:customStyle="1" w:styleId="naiskr">
    <w:name w:val="naiskr"/>
    <w:basedOn w:val="Normal"/>
    <w:rsid w:val="008F4F19"/>
    <w:pPr>
      <w:spacing w:before="75" w:after="75"/>
    </w:pPr>
  </w:style>
  <w:style w:type="paragraph" w:styleId="Header">
    <w:name w:val="header"/>
    <w:basedOn w:val="Normal"/>
    <w:link w:val="GalveneRakstz"/>
    <w:uiPriority w:val="99"/>
    <w:unhideWhenUsed/>
    <w:rsid w:val="008B77E9"/>
    <w:pPr>
      <w:tabs>
        <w:tab w:val="center" w:pos="4153"/>
        <w:tab w:val="right" w:pos="8306"/>
      </w:tabs>
    </w:pPr>
  </w:style>
  <w:style w:type="character" w:customStyle="1" w:styleId="GalveneRakstz">
    <w:name w:val="Galvene Rakstz."/>
    <w:basedOn w:val="DefaultParagraphFont"/>
    <w:link w:val="Header"/>
    <w:uiPriority w:val="99"/>
    <w:rsid w:val="008B77E9"/>
    <w:rPr>
      <w:rFonts w:ascii="Times New Roman" w:eastAsia="Times New Roman" w:hAnsi="Times New Roman" w:cs="Times New Roman"/>
      <w:sz w:val="24"/>
      <w:szCs w:val="24"/>
      <w:lang w:val="lv-LV" w:eastAsia="lv-LV"/>
    </w:rPr>
  </w:style>
  <w:style w:type="paragraph" w:styleId="Footer">
    <w:name w:val="footer"/>
    <w:basedOn w:val="Normal"/>
    <w:link w:val="KjeneRakstz"/>
    <w:uiPriority w:val="99"/>
    <w:unhideWhenUsed/>
    <w:rsid w:val="008B77E9"/>
    <w:pPr>
      <w:tabs>
        <w:tab w:val="center" w:pos="4153"/>
        <w:tab w:val="right" w:pos="8306"/>
      </w:tabs>
    </w:pPr>
  </w:style>
  <w:style w:type="character" w:customStyle="1" w:styleId="KjeneRakstz">
    <w:name w:val="Kājene Rakstz."/>
    <w:basedOn w:val="DefaultParagraphFont"/>
    <w:link w:val="Footer"/>
    <w:uiPriority w:val="99"/>
    <w:rsid w:val="008B77E9"/>
    <w:rPr>
      <w:rFonts w:ascii="Times New Roman" w:eastAsia="Times New Roman" w:hAnsi="Times New Roman" w:cs="Times New Roman"/>
      <w:sz w:val="24"/>
      <w:szCs w:val="24"/>
      <w:lang w:val="lv-LV" w:eastAsia="lv-LV"/>
    </w:rPr>
  </w:style>
  <w:style w:type="paragraph" w:styleId="FootnoteText">
    <w:name w:val="footnote text"/>
    <w:aliases w:val="Char,Footnote,Footnote Text Char Char Char Char,Footnote Text Char Char Char Char Char Char,Footnote Text Char1 Char Char Char Char,Footnote Text Char1 Char2 Char,Footnote Text Char2 Char,Fußnote,Rakstz.,f,ft,ft Rakstz. Rakstz,single space"/>
    <w:basedOn w:val="Normal"/>
    <w:link w:val="VrestekstsRakstz"/>
    <w:uiPriority w:val="99"/>
    <w:unhideWhenUsed/>
    <w:qFormat/>
    <w:rsid w:val="0090381D"/>
    <w:pPr>
      <w:widowControl w:val="0"/>
    </w:pPr>
    <w:rPr>
      <w:rFonts w:ascii="Calibri" w:eastAsia="Calibri" w:hAnsi="Calibri"/>
      <w:sz w:val="20"/>
      <w:szCs w:val="20"/>
      <w:lang w:val="en-US" w:eastAsia="en-US"/>
    </w:rPr>
  </w:style>
  <w:style w:type="character" w:customStyle="1" w:styleId="VrestekstsRakstz">
    <w:name w:val="Vēres teksts Rakstz."/>
    <w:aliases w:val="Char Rakstz.,Footnote Rakstz.,Footnote Text Char Char Char Char Rakstz.,Footnote Text Char Char Char Char Char Char Rakstz.,Footnote Text Char1 Char Char Char Char Rakstz.,Footnote Text Char1 Char2 Char Rakstz.,Fußnote Rakstz."/>
    <w:basedOn w:val="DefaultParagraphFont"/>
    <w:link w:val="FootnoteText"/>
    <w:uiPriority w:val="99"/>
    <w:rsid w:val="0090381D"/>
    <w:rPr>
      <w:rFonts w:ascii="Calibri" w:eastAsia="Calibri" w:hAnsi="Calibri" w:cs="Times New Roman"/>
      <w:sz w:val="20"/>
      <w:szCs w:val="20"/>
    </w:rPr>
  </w:style>
  <w:style w:type="table" w:styleId="TableGrid">
    <w:name w:val="Table Grid"/>
    <w:basedOn w:val="TableNormal"/>
    <w:uiPriority w:val="39"/>
    <w:rsid w:val="00AD32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F6A4C"/>
    <w:rPr>
      <w:color w:val="0563C1" w:themeColor="hyperlink"/>
      <w:u w:val="single"/>
    </w:rPr>
  </w:style>
  <w:style w:type="paragraph" w:styleId="ListParagraph">
    <w:name w:val="List Paragraph"/>
    <w:basedOn w:val="Normal"/>
    <w:uiPriority w:val="34"/>
    <w:qFormat/>
    <w:rsid w:val="00C76331"/>
    <w:pPr>
      <w:spacing w:after="160" w:line="259" w:lineRule="auto"/>
      <w:ind w:left="720"/>
      <w:contextualSpacing/>
    </w:pPr>
    <w:rPr>
      <w:rFonts w:asciiTheme="minorHAnsi" w:eastAsiaTheme="minorHAnsi" w:hAnsiTheme="minorHAnsi" w:cstheme="minorBidi"/>
      <w:sz w:val="22"/>
      <w:szCs w:val="22"/>
      <w:lang w:eastAsia="en-US"/>
    </w:rPr>
  </w:style>
  <w:style w:type="paragraph" w:styleId="Title">
    <w:name w:val="Title"/>
    <w:basedOn w:val="Normal"/>
    <w:next w:val="Normal"/>
    <w:link w:val="NosaukumsRakstz"/>
    <w:uiPriority w:val="10"/>
    <w:qFormat/>
    <w:rsid w:val="001B772F"/>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DefaultParagraphFont"/>
    <w:link w:val="Title"/>
    <w:uiPriority w:val="10"/>
    <w:rsid w:val="001B772F"/>
    <w:rPr>
      <w:rFonts w:asciiTheme="majorHAnsi" w:eastAsiaTheme="majorEastAsia" w:hAnsiTheme="majorHAnsi" w:cstheme="majorBidi"/>
      <w:spacing w:val="-10"/>
      <w:kern w:val="28"/>
      <w:sz w:val="56"/>
      <w:szCs w:val="56"/>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chart" Target="charts/chart1.xml" /><Relationship Id="rId11" Type="http://schemas.openxmlformats.org/officeDocument/2006/relationships/chart" Target="charts/chart2.xm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jpeg" /><Relationship Id="rId8" Type="http://schemas.openxmlformats.org/officeDocument/2006/relationships/hyperlink" Target="mailto:info@rezeknesnovads.lv" TargetMode="External" /><Relationship Id="rId9" Type="http://schemas.openxmlformats.org/officeDocument/2006/relationships/hyperlink" Target="http://www.rezeknesnovads.lv" TargetMode="External" /></Relationships>
</file>

<file path=word/charts/_rels/chart1.xml.rels><?xml version="1.0" encoding="utf-8" standalone="yes"?><Relationships xmlns="http://schemas.openxmlformats.org/package/2006/relationships"><Relationship Id="rId1" Type="http://schemas.openxmlformats.org/officeDocument/2006/relationships/oleObject" Target="file:///C:\Users\ASerzants\Desktop\Excel%202016.xlsx" TargetMode="External" /><Relationship Id="rId2" Type="http://schemas.microsoft.com/office/2011/relationships/chartColorStyle" Target="chart/colors1.xml" /><Relationship Id="rId3" Type="http://schemas.microsoft.com/office/2011/relationships/chartStyle" Target="chart/style1.xml" /></Relationships>
</file>

<file path=word/charts/_rels/chart2.xml.rels><?xml version="1.0" encoding="utf-8" standalone="yes"?><Relationships xmlns="http://schemas.openxmlformats.org/package/2006/relationships"><Relationship Id="rId1" Type="http://schemas.openxmlformats.org/officeDocument/2006/relationships/oleObject" Target="file:///C:\Users\ASerzants\Desktop\Excel%202016.xlsx" TargetMode="External" /><Relationship Id="rId2" Type="http://schemas.microsoft.com/office/2011/relationships/chartColorStyle" Target="chart/colors2.xml" /><Relationship Id="rId3" Type="http://schemas.microsoft.com/office/2011/relationships/chartStyle" Target="chart/style2.xml" /></Relationships>
</file>

<file path=word/charts/chart/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1.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046981627296589"/>
          <c:y val="0.022327315792842969"/>
          <c:w val="0.83953018372703414"/>
          <c:h val="0.77167338838742716"/>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Sheet15!$A$53:$A$55</c:f>
              <c:strCache>
                <c:ptCount val="3"/>
                <c:pt idx="0">
                  <c:v>Nenodokļu ieņēmumi</c:v>
                </c:pt>
                <c:pt idx="1">
                  <c:v>Maksas pakalpojumi</c:v>
                </c:pt>
                <c:pt idx="2">
                  <c:v>Valsts budžeta transferti</c:v>
                </c:pt>
              </c:strCache>
            </c:strRef>
          </c:cat>
          <c:val>
            <c:numRef>
              <c:f>Sheet15!$B$53:$B$55</c:f>
              <c:numCache>
                <c:formatCode>General</c:formatCode>
                <c:ptCount val="3"/>
                <c:pt idx="0">
                  <c:v>54491</c:v>
                </c:pt>
                <c:pt idx="1">
                  <c:v>73919</c:v>
                </c:pt>
                <c:pt idx="2">
                  <c:v>165199</c:v>
                </c:pt>
              </c:numCache>
            </c:numRef>
          </c:val>
          <c:extLst>
            <c:ext xmlns:c16="http://schemas.microsoft.com/office/drawing/2014/chart" uri="{C3380CC4-5D6E-409C-BE32-E72D297353CC}">
              <c16:uniqueId val="{00000000-78FD-46FC-9595-D7875B3C12DD}"/>
            </c:ext>
          </c:extLst>
        </c:ser>
        <c:dLbls>
          <c:showLegendKey val="0"/>
          <c:showVal val="0"/>
          <c:showCatName val="0"/>
          <c:showSerName val="0"/>
          <c:showPercent val="0"/>
          <c:showBubbleSize val="0"/>
        </c:dLbls>
        <c:gapWidth val="219"/>
        <c:overlap val="-27"/>
        <c:axId val="509010952"/>
        <c:axId val="509006272"/>
      </c:barChart>
      <c:catAx>
        <c:axId val="509010952"/>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09006272"/>
        <c:crosses val="autoZero"/>
        <c:auto val="1"/>
        <c:lblAlgn val="ctr"/>
        <c:lblOffset val="100"/>
        <c:noMultiLvlLbl val="0"/>
      </c:catAx>
      <c:valAx>
        <c:axId val="509006272"/>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09010952"/>
        <c:crosses val="autoZero"/>
        <c:crossBetween val="between"/>
      </c:valAx>
      <c:spPr>
        <a:noFill/>
        <a:ln>
          <a:noFill/>
        </a:ln>
        <a:effectLst/>
      </c:spPr>
    </c:plotArea>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lv-LV"/>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0"/>
              <c:layout>
                <c:manualLayout>
                  <c:x val="0.0049474335188620907"/>
                  <c:y val="0.16045845272206311"/>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120-49C4-8B89-8CB904729FAC}"/>
                </c:ext>
              </c:extLst>
            </c:dLbl>
            <c:dLbl>
              <c:idx val="1"/>
              <c:layout>
                <c:manualLayout>
                  <c:x val="-4.5350950024857859E-17"/>
                  <c:y val="0.072267389340560068"/>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120-49C4-8B89-8CB904729FAC}"/>
                </c:ext>
              </c:extLst>
            </c:dLbl>
            <c:dLbl>
              <c:idx val="2"/>
              <c:layout>
                <c:manualLayout>
                  <c:x val="4.5350950024857859E-17"/>
                  <c:y val="0.087870105062082135"/>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120-49C4-8B89-8CB904729FAC}"/>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Sheet15!$A$42:$A$48</c:f>
              <c:strCache>
                <c:ptCount val="7"/>
                <c:pt idx="0">
                  <c:v>Vispārējie valdības dienesti</c:v>
                </c:pt>
                <c:pt idx="1">
                  <c:v>Ekonomiskā darbība</c:v>
                </c:pt>
                <c:pt idx="2">
                  <c:v>Teritoriju un mājokļu apsaimniekošana</c:v>
                </c:pt>
                <c:pt idx="3">
                  <c:v>Veselība</c:v>
                </c:pt>
                <c:pt idx="4">
                  <c:v>Atpūta, kultūra un reliģija</c:v>
                </c:pt>
                <c:pt idx="5">
                  <c:v>Izglītība</c:v>
                </c:pt>
                <c:pt idx="6">
                  <c:v>Sociālā aizsardzība</c:v>
                </c:pt>
              </c:strCache>
            </c:strRef>
          </c:cat>
          <c:val>
            <c:numRef>
              <c:f>Sheet15!$B$42:$B$48</c:f>
              <c:numCache>
                <c:formatCode>General</c:formatCode>
                <c:ptCount val="7"/>
                <c:pt idx="0">
                  <c:v>-20600</c:v>
                </c:pt>
                <c:pt idx="1">
                  <c:v>-4936</c:v>
                </c:pt>
                <c:pt idx="2">
                  <c:v>-789</c:v>
                </c:pt>
                <c:pt idx="3">
                  <c:v>3026</c:v>
                </c:pt>
                <c:pt idx="4">
                  <c:v>137893</c:v>
                </c:pt>
                <c:pt idx="5">
                  <c:v>44867</c:v>
                </c:pt>
                <c:pt idx="6">
                  <c:v>67110</c:v>
                </c:pt>
              </c:numCache>
            </c:numRef>
          </c:val>
          <c:extLst>
            <c:ext xmlns:c16="http://schemas.microsoft.com/office/drawing/2014/chart" uri="{C3380CC4-5D6E-409C-BE32-E72D297353CC}">
              <c16:uniqueId val="{00000003-9120-49C4-8B89-8CB904729FAC}"/>
            </c:ext>
          </c:extLst>
        </c:ser>
        <c:dLbls>
          <c:dLblPos val="outEnd"/>
          <c:showLegendKey val="0"/>
          <c:showVal val="1"/>
          <c:showCatName val="0"/>
          <c:showSerName val="0"/>
          <c:showPercent val="0"/>
          <c:showBubbleSize val="0"/>
        </c:dLbls>
        <c:gapWidth val="219"/>
        <c:overlap val="-27"/>
        <c:axId val="328034168"/>
        <c:axId val="328034888"/>
      </c:barChart>
      <c:catAx>
        <c:axId val="328034168"/>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lv-LV"/>
          </a:p>
        </c:txPr>
        <c:crossAx val="328034888"/>
        <c:crosses val="autoZero"/>
        <c:auto val="1"/>
        <c:lblAlgn val="ctr"/>
        <c:lblOffset val="100"/>
        <c:noMultiLvlLbl val="0"/>
      </c:catAx>
      <c:valAx>
        <c:axId val="328034888"/>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328034168"/>
        <c:crosses val="autoZero"/>
        <c:crossBetween val="between"/>
      </c:valAx>
      <c:spPr>
        <a:noFill/>
        <a:ln>
          <a:noFill/>
        </a:ln>
        <a:effectLst/>
      </c:spPr>
    </c:plotArea>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lv-LV"/>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9DF15F499298428B3727DE1C849A66" ma:contentTypeVersion="14" ma:contentTypeDescription="Create a new document." ma:contentTypeScope="" ma:versionID="d39f08b7f6972f07161b4b82d4a75943">
  <xsd:schema xmlns:xsd="http://www.w3.org/2001/XMLSchema" xmlns:xs="http://www.w3.org/2001/XMLSchema" xmlns:p="http://schemas.microsoft.com/office/2006/metadata/properties" xmlns:ns2="86ef8e9a-2d70-4b27-ad38-ddf9b6987504" xmlns:ns3="66f0e6ae-485d-4e3f-9016-068b00210997" targetNamespace="http://schemas.microsoft.com/office/2006/metadata/properties" ma:root="true" ma:fieldsID="1cda52f623e98b0c2fff090867027a60" ns2:_="" ns3:_="">
    <xsd:import namespace="86ef8e9a-2d70-4b27-ad38-ddf9b6987504"/>
    <xsd:import namespace="66f0e6ae-485d-4e3f-9016-068b0021099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ef8e9a-2d70-4b27-ad38-ddf9b698750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a8a5525-f7e2-415a-a65d-d1181ab3d15b}" ma:internalName="TaxCatchAll" ma:showField="CatchAllData" ma:web="86ef8e9a-2d70-4b27-ad38-ddf9b69875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6f0e6ae-485d-4e3f-9016-068b0021099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c7b8de2-9af4-4efa-8d74-aa3569be542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6f0e6ae-485d-4e3f-9016-068b00210997">
      <Terms xmlns="http://schemas.microsoft.com/office/infopath/2007/PartnerControls"/>
    </lcf76f155ced4ddcb4097134ff3c332f>
    <TaxCatchAll xmlns="86ef8e9a-2d70-4b27-ad38-ddf9b698750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B9C07B-9054-4064-BAE8-F70729FE04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ef8e9a-2d70-4b27-ad38-ddf9b6987504"/>
    <ds:schemaRef ds:uri="66f0e6ae-485d-4e3f-9016-068b002109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70A7CB-EA9A-4817-97B6-47852C21F822}">
  <ds:schemaRefs>
    <ds:schemaRef ds:uri="http://schemas.microsoft.com/office/2006/metadata/properties"/>
    <ds:schemaRef ds:uri="http://schemas.microsoft.com/office/infopath/2007/PartnerControls"/>
    <ds:schemaRef ds:uri="66f0e6ae-485d-4e3f-9016-068b00210997"/>
    <ds:schemaRef ds:uri="86ef8e9a-2d70-4b27-ad38-ddf9b6987504"/>
  </ds:schemaRefs>
</ds:datastoreItem>
</file>

<file path=customXml/itemProps3.xml><?xml version="1.0" encoding="utf-8"?>
<ds:datastoreItem xmlns:ds="http://schemas.openxmlformats.org/officeDocument/2006/customXml" ds:itemID="{869204FC-9BA4-48F9-9F0A-516DFD87AD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4145</Words>
  <Characters>2364</Characters>
  <Application>Microsoft Office Word</Application>
  <DocSecurity>0</DocSecurity>
  <Lines>19</Lines>
  <Paragraphs>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Natālija Zvīdriņa</dc:creator>
  <cp:lastModifiedBy>Natālija Zvīdriņa</cp:lastModifiedBy>
  <cp:revision>8</cp:revision>
  <cp:lastPrinted>2024-03-06T09:29:00Z</cp:lastPrinted>
  <dcterms:created xsi:type="dcterms:W3CDTF">2024-05-22T15:40:00Z</dcterms:created>
  <dcterms:modified xsi:type="dcterms:W3CDTF">2024-12-19T12:46:00Z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0x0101002B9DF15F499298428B3727DE1C849A66</vt:lpwstr>
  </property>
</Properties>
</file>