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customXml/item1.xml" ContentType="application/xml"/>
  <Override PartName="/customXml/item2.xml" ContentType="application/xml"/>
  <Override PartName="/customXml/item3.xml" ContentType="applicatio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charts/chart/colors1.xml" ContentType="application/vnd.ms-office.chartcolorstyle+xml"/>
  <Override PartName="/word/charts/chart/colors2.xml" ContentType="application/vnd.ms-office.chartcolorstyle+xml"/>
  <Override PartName="/word/charts/chart/colors3.xml" ContentType="application/vnd.ms-office.chartcolorstyle+xml"/>
  <Override PartName="/word/charts/chart/colors4.xml" ContentType="application/vnd.ms-office.chartcolorstyle+xml"/>
  <Override PartName="/word/charts/chart/style1.xml" ContentType="application/vnd.ms-office.chartstyle+xml"/>
  <Override PartName="/word/charts/chart/style2.xml" ContentType="application/vnd.ms-office.chartstyle+xml"/>
  <Override PartName="/word/charts/chart/style3.xml" ContentType="application/vnd.ms-office.chartstyle+xml"/>
  <Override PartName="/word/charts/chart/style4.xml" ContentType="application/vnd.ms-office.chartstyle+xml"/>
  <Override PartName="/word/charts/chart1.xml" ContentType="application/vnd.openxmlformats-officedocument.drawingml.chart+xml"/>
  <Override PartName="/word/charts/chart2.xml" ContentType="application/vnd.openxmlformats-officedocument.drawingml.chart+xml"/>
  <Override PartName="/word/charts/chart3.xml" ContentType="application/vnd.openxmlformats-officedocument.drawingml.chart+xml"/>
  <Override PartName="/word/charts/chart4.xml" ContentType="application/vnd.openxmlformats-officedocument.drawingml.chart+xml"/>
  <Override PartName="/word/document.xml" ContentType="application/vnd.openxmlformats-officedocument.wordprocessingml.document.main+xml"/>
  <Override PartName="/word/embeddings/Microsoft_Excel_Worksheet1.xlsx" ContentType="application/vnd.openxmlformats-officedocument.spreadsheetml.sheet"/>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theme/themeOverride1.xml" ContentType="application/vnd.openxmlformats-officedocument.themeOverride+xml"/>
  <Override PartName="/word/webSettings.xml" ContentType="application/vnd.openxmlformats-officedocument.wordprocessingml.webSettings+xml"/>
</Types>
</file>

<file path=_rels/.rels><?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 Id="rId4" Type="http://schemas.openxmlformats.org/officeDocument/2006/relationships/custom-properties" Target="docProps/custom.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 Generated by Aspose.Words for .NET 24.6.0 -->
  <w:body>
    <w:tbl>
      <w:tblPr>
        <w:tblW w:w="9164" w:type="dxa"/>
        <w:tblInd w:w="521" w:type="dxa"/>
        <w:tblLayout w:type="fixed"/>
        <w:tblCellMar>
          <w:top w:w="55" w:type="dxa"/>
          <w:left w:w="55" w:type="dxa"/>
          <w:bottom w:w="55" w:type="dxa"/>
          <w:right w:w="55" w:type="dxa"/>
        </w:tblCellMar>
        <w:tblLook w:val="0000"/>
      </w:tblPr>
      <w:tblGrid>
        <w:gridCol w:w="2401"/>
        <w:gridCol w:w="6763"/>
      </w:tblGrid>
      <w:tr w14:paraId="54595614" w14:textId="77777777" w:rsidTr="00213B1F">
        <w:tblPrEx>
          <w:tblW w:w="9164" w:type="dxa"/>
          <w:tblInd w:w="521" w:type="dxa"/>
          <w:tblLayout w:type="fixed"/>
          <w:tblCellMar>
            <w:top w:w="55" w:type="dxa"/>
            <w:left w:w="55" w:type="dxa"/>
            <w:bottom w:w="55" w:type="dxa"/>
            <w:right w:w="55" w:type="dxa"/>
          </w:tblCellMar>
          <w:tblLook w:val="0000"/>
        </w:tblPrEx>
        <w:trPr>
          <w:trHeight w:hRule="exact" w:val="2324"/>
        </w:trPr>
        <w:tc>
          <w:tcPr>
            <w:tcW w:w="2401" w:type="dxa"/>
          </w:tcPr>
          <w:p w:rsidR="008F4F19" w:rsidRPr="00431B7E" w:rsidP="006F20E0" w14:paraId="5459560D" w14:textId="77777777">
            <w:pPr>
              <w:widowControl w:val="0"/>
              <w:suppressLineNumbers/>
              <w:suppressAutoHyphens/>
              <w:snapToGrid w:val="0"/>
              <w:spacing w:line="240" w:lineRule="atLeast"/>
              <w:jc w:val="center"/>
              <w:rPr>
                <w:rFonts w:ascii="Verdana" w:hAnsi="Verdana" w:cs="Arial"/>
                <w:b/>
                <w:caps/>
                <w:sz w:val="36"/>
                <w:szCs w:val="36"/>
                <w:lang w:eastAsia="ar-SA"/>
              </w:rPr>
            </w:pPr>
            <w:r w:rsidRPr="00431B7E">
              <w:rPr>
                <w:rFonts w:eastAsia="Lucida Sans Unicode"/>
                <w:noProof/>
              </w:rPr>
              <w:drawing>
                <wp:anchor distT="0" distB="0" distL="0" distR="0" simplePos="0" relativeHeight="251660288" behindDoc="0" locked="0" layoutInCell="1" allowOverlap="1">
                  <wp:simplePos x="0" y="0"/>
                  <wp:positionH relativeFrom="column">
                    <wp:posOffset>-1905</wp:posOffset>
                  </wp:positionH>
                  <wp:positionV relativeFrom="paragraph">
                    <wp:posOffset>0</wp:posOffset>
                  </wp:positionV>
                  <wp:extent cx="919480" cy="1075690"/>
                  <wp:effectExtent l="0" t="0" r="0" b="0"/>
                  <wp:wrapTopAndBottom/>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5"/>
                          <pic:cNvPicPr>
                            <a:picLocks noChangeAspect="1" noChangeArrowheads="1"/>
                          </pic:cNvPicPr>
                        </pic:nvPicPr>
                        <pic:blipFill>
                          <a:blip xmlns:r="http://schemas.openxmlformats.org/officeDocument/2006/relationships" r:embed="rId7" cstate="print">
                            <a:extLst>
                              <a:ext xmlns:a="http://schemas.openxmlformats.org/drawingml/2006/main" uri="{28A0092B-C50C-407E-A947-70E740481C1C}">
                                <a14:useLocalDpi xmlns:a14="http://schemas.microsoft.com/office/drawing/2010/main" val="0"/>
                              </a:ext>
                            </a:extLst>
                          </a:blip>
                          <a:stretch>
                            <a:fillRect/>
                          </a:stretch>
                        </pic:blipFill>
                        <pic:spPr bwMode="auto">
                          <a:xfrm>
                            <a:off x="0" y="0"/>
                            <a:ext cx="919480" cy="1075690"/>
                          </a:xfrm>
                          <a:prstGeom prst="rect">
                            <a:avLst/>
                          </a:prstGeom>
                          <a:solidFill>
                            <a:srgbClr val="FFFFFF"/>
                          </a:solidFill>
                        </pic:spPr>
                      </pic:pic>
                    </a:graphicData>
                  </a:graphic>
                  <wp14:sizeRelH relativeFrom="page">
                    <wp14:pctWidth>0</wp14:pctWidth>
                  </wp14:sizeRelH>
                  <wp14:sizeRelV relativeFrom="page">
                    <wp14:pctHeight>0</wp14:pctHeight>
                  </wp14:sizeRelV>
                </wp:anchor>
              </w:drawing>
            </w:r>
          </w:p>
        </w:tc>
        <w:tc>
          <w:tcPr>
            <w:tcW w:w="6763" w:type="dxa"/>
          </w:tcPr>
          <w:p w:rsidR="008F4F19" w:rsidRPr="00431B7E" w:rsidP="006F20E0" w14:paraId="5459560E" w14:textId="77777777">
            <w:pPr>
              <w:widowControl w:val="0"/>
              <w:shd w:val="clear" w:color="auto" w:fill="FFFFFF"/>
              <w:suppressAutoHyphens/>
              <w:snapToGrid w:val="0"/>
              <w:spacing w:line="240" w:lineRule="atLeast"/>
              <w:ind w:right="19"/>
              <w:jc w:val="center"/>
              <w:rPr>
                <w:rFonts w:ascii="Verdana" w:hAnsi="Verdana" w:cs="Arial"/>
                <w:b/>
                <w:caps/>
                <w:sz w:val="36"/>
                <w:szCs w:val="36"/>
                <w:lang w:eastAsia="ar-SA"/>
              </w:rPr>
            </w:pPr>
            <w:r w:rsidRPr="00431B7E">
              <w:rPr>
                <w:rFonts w:ascii="Verdana" w:hAnsi="Verdana" w:cs="Arial"/>
                <w:b/>
                <w:caps/>
                <w:sz w:val="36"/>
                <w:szCs w:val="36"/>
                <w:lang w:eastAsia="ar-SA"/>
              </w:rPr>
              <w:t xml:space="preserve">Rēzeknes novada </w:t>
            </w:r>
            <w:r w:rsidR="00213B1F">
              <w:rPr>
                <w:rFonts w:ascii="Verdana" w:hAnsi="Verdana" w:cs="Arial"/>
                <w:b/>
                <w:caps/>
                <w:sz w:val="36"/>
                <w:szCs w:val="36"/>
                <w:lang w:eastAsia="ar-SA"/>
              </w:rPr>
              <w:t>DOME</w:t>
            </w:r>
          </w:p>
          <w:p w:rsidR="008F4F19" w:rsidRPr="00431B7E" w:rsidP="006F20E0" w14:paraId="5459560F" w14:textId="77777777">
            <w:pPr>
              <w:widowControl w:val="0"/>
              <w:shd w:val="clear" w:color="auto" w:fill="FFFFFF"/>
              <w:suppressAutoHyphens/>
              <w:snapToGrid w:val="0"/>
              <w:spacing w:before="119" w:after="113" w:line="240" w:lineRule="atLeast"/>
              <w:ind w:right="19"/>
              <w:jc w:val="center"/>
              <w:rPr>
                <w:rFonts w:ascii="Verdana" w:hAnsi="Verdana"/>
                <w:caps/>
                <w:sz w:val="18"/>
                <w:szCs w:val="18"/>
                <w:lang w:eastAsia="ar-SA"/>
              </w:rPr>
            </w:pPr>
            <w:r w:rsidRPr="00431B7E">
              <w:rPr>
                <w:rFonts w:ascii="Verdana" w:hAnsi="Verdana"/>
                <w:caps/>
                <w:sz w:val="18"/>
                <w:szCs w:val="18"/>
                <w:lang w:eastAsia="ar-SA"/>
              </w:rPr>
              <w:t>Reģ.Nr.90009112679</w:t>
            </w:r>
          </w:p>
          <w:p w:rsidR="008F4F19" w:rsidRPr="00431B7E" w:rsidP="006F20E0" w14:paraId="54595610" w14:textId="77777777">
            <w:pPr>
              <w:widowControl w:val="0"/>
              <w:shd w:val="clear" w:color="auto" w:fill="FFFFFF"/>
              <w:suppressAutoHyphens/>
              <w:snapToGrid w:val="0"/>
              <w:spacing w:before="60" w:line="240" w:lineRule="atLeast"/>
              <w:jc w:val="center"/>
              <w:rPr>
                <w:rFonts w:ascii="Verdana" w:hAnsi="Verdana"/>
                <w:sz w:val="18"/>
                <w:szCs w:val="18"/>
                <w:lang w:eastAsia="ar-SA"/>
              </w:rPr>
            </w:pPr>
            <w:r w:rsidRPr="00431B7E">
              <w:rPr>
                <w:rFonts w:ascii="Verdana" w:hAnsi="Verdana"/>
                <w:sz w:val="18"/>
                <w:szCs w:val="18"/>
                <w:lang w:eastAsia="ar-SA"/>
              </w:rPr>
              <w:t>Atbrīvošanas aleja 95A,  Rēzekne,  LV – 4601,</w:t>
            </w:r>
          </w:p>
          <w:p w:rsidR="008F4F19" w:rsidRPr="00431B7E" w:rsidP="006F20E0" w14:paraId="54595611" w14:textId="77777777">
            <w:pPr>
              <w:widowControl w:val="0"/>
              <w:shd w:val="clear" w:color="auto" w:fill="FFFFFF"/>
              <w:suppressAutoHyphens/>
              <w:snapToGrid w:val="0"/>
              <w:spacing w:before="60" w:line="240" w:lineRule="atLeast"/>
              <w:jc w:val="center"/>
              <w:rPr>
                <w:rFonts w:ascii="Verdana" w:hAnsi="Verdana"/>
                <w:sz w:val="18"/>
                <w:szCs w:val="18"/>
                <w:lang w:eastAsia="ar-SA"/>
              </w:rPr>
            </w:pPr>
            <w:r w:rsidRPr="00431B7E">
              <w:rPr>
                <w:rFonts w:ascii="Verdana" w:hAnsi="Verdana"/>
                <w:sz w:val="18"/>
                <w:szCs w:val="18"/>
                <w:lang w:eastAsia="ar-SA"/>
              </w:rPr>
              <w:t>Tel. 646 22</w:t>
            </w:r>
            <w:r w:rsidR="00000F2A">
              <w:rPr>
                <w:rFonts w:ascii="Verdana" w:hAnsi="Verdana"/>
                <w:sz w:val="18"/>
                <w:szCs w:val="18"/>
                <w:lang w:eastAsia="ar-SA"/>
              </w:rPr>
              <w:t>238,</w:t>
            </w:r>
            <w:r w:rsidR="005301E9">
              <w:rPr>
                <w:rFonts w:ascii="Verdana" w:hAnsi="Verdana"/>
                <w:sz w:val="18"/>
                <w:szCs w:val="18"/>
                <w:lang w:eastAsia="ar-SA"/>
              </w:rPr>
              <w:t xml:space="preserve"> 646 22231</w:t>
            </w:r>
            <w:r w:rsidR="00000F2A">
              <w:rPr>
                <w:rFonts w:ascii="Verdana" w:hAnsi="Verdana"/>
                <w:sz w:val="18"/>
                <w:szCs w:val="18"/>
                <w:lang w:eastAsia="ar-SA"/>
              </w:rPr>
              <w:t xml:space="preserve">, </w:t>
            </w:r>
            <w:r w:rsidR="00000F2A">
              <w:rPr>
                <w:rFonts w:ascii="Verdana" w:hAnsi="Verdana"/>
                <w:sz w:val="18"/>
                <w:szCs w:val="18"/>
                <w:lang w:val="en-US" w:eastAsia="ar-SA"/>
              </w:rPr>
              <w:t>646 25935,</w:t>
            </w:r>
          </w:p>
          <w:p w:rsidR="008F4F19" w:rsidRPr="00431B7E" w:rsidP="006F20E0" w14:paraId="54595612" w14:textId="77777777">
            <w:pPr>
              <w:widowControl w:val="0"/>
              <w:shd w:val="clear" w:color="auto" w:fill="FFFFFF"/>
              <w:suppressAutoHyphens/>
              <w:snapToGrid w:val="0"/>
              <w:spacing w:before="60" w:line="240" w:lineRule="atLeast"/>
              <w:jc w:val="center"/>
              <w:rPr>
                <w:rFonts w:ascii="Verdana" w:hAnsi="Verdana"/>
                <w:sz w:val="18"/>
                <w:szCs w:val="18"/>
                <w:lang w:eastAsia="ar-SA"/>
              </w:rPr>
            </w:pPr>
            <w:r w:rsidRPr="00431B7E">
              <w:rPr>
                <w:rFonts w:ascii="Verdana" w:hAnsi="Verdana"/>
                <w:sz w:val="18"/>
                <w:szCs w:val="18"/>
                <w:lang w:eastAsia="ar-SA"/>
              </w:rPr>
              <w:t xml:space="preserve">E–pasts: </w:t>
            </w:r>
            <w:hyperlink r:id="rId8" w:history="1">
              <w:r w:rsidRPr="00431B7E">
                <w:rPr>
                  <w:rFonts w:ascii="Verdana" w:eastAsia="Lucida Sans Unicode" w:hAnsi="Verdana" w:cs="Tahoma"/>
                  <w:color w:val="0000FF"/>
                  <w:sz w:val="18"/>
                  <w:szCs w:val="18"/>
                  <w:u w:val="single"/>
                  <w:lang w:eastAsia="ar-SA"/>
                </w:rPr>
                <w:t>info@rezeknesnovads.lv</w:t>
              </w:r>
            </w:hyperlink>
          </w:p>
          <w:p w:rsidR="008F4F19" w:rsidRPr="00431B7E" w:rsidP="006F20E0" w14:paraId="54595613" w14:textId="77777777">
            <w:pPr>
              <w:widowControl w:val="0"/>
              <w:shd w:val="clear" w:color="auto" w:fill="FFFFFF"/>
              <w:suppressAutoHyphens/>
              <w:spacing w:before="120" w:line="240" w:lineRule="atLeast"/>
              <w:ind w:right="19"/>
              <w:jc w:val="center"/>
              <w:rPr>
                <w:rFonts w:eastAsia="Lucida Sans Unicode" w:cs="Tahoma"/>
                <w:lang w:eastAsia="ar-SA"/>
              </w:rPr>
            </w:pPr>
            <w:r w:rsidRPr="00431B7E">
              <w:rPr>
                <w:rFonts w:eastAsia="Lucida Sans Unicode" w:cs="Tahoma"/>
                <w:noProof/>
              </w:rPr>
              <mc:AlternateContent>
                <mc:Choice Requires="wps">
                  <w:drawing>
                    <wp:anchor distT="0" distB="0" distL="114300" distR="114300" simplePos="0" relativeHeight="251658240" behindDoc="0" locked="0" layoutInCell="1" allowOverlap="1">
                      <wp:simplePos x="0" y="0"/>
                      <wp:positionH relativeFrom="column">
                        <wp:posOffset>-1779270</wp:posOffset>
                      </wp:positionH>
                      <wp:positionV relativeFrom="paragraph">
                        <wp:posOffset>292064</wp:posOffset>
                      </wp:positionV>
                      <wp:extent cx="5950585" cy="0"/>
                      <wp:effectExtent l="9525" t="9525" r="12065" b="9525"/>
                      <wp:wrapNone/>
                      <wp:docPr id="2" name="Straight Connector 2"/>
                      <wp:cNvGraphicFramePr/>
                      <a:graphic xmlns:a="http://schemas.openxmlformats.org/drawingml/2006/main">
                        <a:graphicData uri="http://schemas.microsoft.com/office/word/2010/wordprocessingShape">
                          <wps:wsp xmlns:wps="http://schemas.microsoft.com/office/word/2010/wordprocessingShape">
                            <wps:cNvCnPr>
                              <a:cxnSpLocks noChangeShapeType="1"/>
                            </wps:cNvCnPr>
                            <wps:spPr bwMode="auto">
                              <a:xfrm>
                                <a:off x="0" y="0"/>
                                <a:ext cx="5950585" cy="0"/>
                              </a:xfrm>
                              <a:prstGeom prst="line">
                                <a:avLst/>
                              </a:prstGeom>
                              <a:noFill/>
                              <a:ln w="9360">
                                <a:solidFill>
                                  <a:srgbClr val="000000"/>
                                </a:solidFill>
                                <a:miter lim="800000"/>
                                <a:headEnd/>
                                <a:tailEnd/>
                              </a:ln>
                              <a:effectLst/>
                              <a:extLst>
                                <a:ext xmlns:a="http://schemas.openxmlformats.org/drawingml/2006/main" uri="{909E8E84-426E-40DD-AFC4-6F175D3DCCD1}">
                                  <a14:hiddenFill xmlns:a14="http://schemas.microsoft.com/office/drawing/2010/main">
                                    <a:noFill/>
                                  </a14:hiddenFill>
                                </a:ext>
                                <a:ext xmlns:a="http://schemas.openxmlformats.org/drawingml/2006/main" uri="{AF507438-7753-43E0-B8FC-AC1667EBCBE1}">
                                  <a14:hiddenEffects xmlns:a14="http://schemas.microsoft.com/office/drawing/2010/main">
                                    <a:effectLst>
                                      <a:outerShdw algn="ctr" dir="2700000" dist="35921"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id="Straight Connector 2" o:spid="_x0000_s1025" style="mso-height-percent:0;mso-height-relative:page;mso-width-percent:0;mso-width-relative:page;mso-wrap-distance-bottom:0;mso-wrap-distance-left:9pt;mso-wrap-distance-right:9pt;mso-wrap-distance-top:0;mso-wrap-style:square;position:absolute;visibility:visible;z-index:251659264" from="-140.1pt,23pt" to="328.45pt,23pt" strokeweight="0.74pt">
                      <v:stroke joinstyle="miter"/>
                    </v:line>
                  </w:pict>
                </mc:Fallback>
              </mc:AlternateContent>
            </w:r>
            <w:r w:rsidRPr="00431B7E">
              <w:rPr>
                <w:rFonts w:ascii="Verdana" w:hAnsi="Verdana"/>
                <w:sz w:val="18"/>
                <w:szCs w:val="18"/>
                <w:lang w:eastAsia="ar-SA"/>
              </w:rPr>
              <w:t xml:space="preserve">Informācija Internetā:  </w:t>
            </w:r>
            <w:hyperlink r:id="rId9" w:history="1">
              <w:r w:rsidRPr="00431B7E">
                <w:rPr>
                  <w:rFonts w:ascii="Verdana" w:eastAsia="Lucida Sans Unicode" w:hAnsi="Verdana" w:cs="Tahoma"/>
                  <w:color w:val="0000FF"/>
                  <w:sz w:val="18"/>
                  <w:szCs w:val="18"/>
                  <w:u w:val="single"/>
                  <w:lang w:eastAsia="ar-SA"/>
                </w:rPr>
                <w:t>http://www.rezeknesnovads.lv</w:t>
              </w:r>
            </w:hyperlink>
          </w:p>
        </w:tc>
      </w:tr>
    </w:tbl>
    <w:p w:rsidR="008F4F19" w:rsidP="006F20E0" w14:paraId="54595615" w14:textId="77777777">
      <w:pPr>
        <w:spacing w:line="240" w:lineRule="atLeast"/>
        <w:ind w:right="46"/>
        <w:jc w:val="center"/>
        <w:rPr>
          <w:b/>
          <w:bCs/>
        </w:rPr>
      </w:pPr>
      <w:r w:rsidRPr="00133CE1">
        <w:rPr>
          <w:b/>
          <w:bCs/>
        </w:rPr>
        <w:t xml:space="preserve">Paskaidrojuma raksts </w:t>
      </w:r>
    </w:p>
    <w:p w:rsidR="006F20E0" w:rsidRPr="00133CE1" w:rsidP="006F20E0" w14:paraId="3F4CFFD4" w14:textId="77777777">
      <w:pPr>
        <w:spacing w:line="240" w:lineRule="atLeast"/>
        <w:ind w:right="46"/>
        <w:jc w:val="center"/>
        <w:rPr>
          <w:b/>
          <w:bCs/>
        </w:rPr>
      </w:pPr>
    </w:p>
    <w:p w:rsidR="0034261A" w:rsidRPr="00133CE1" w:rsidP="006F20E0" w14:paraId="7B4045D7" w14:textId="77777777">
      <w:pPr>
        <w:spacing w:line="240" w:lineRule="atLeast"/>
        <w:jc w:val="center"/>
        <w:rPr>
          <w:b/>
        </w:rPr>
      </w:pPr>
      <w:r w:rsidRPr="00133CE1">
        <w:rPr>
          <w:b/>
        </w:rPr>
        <w:t xml:space="preserve">Rēzeknes novada pašvaldības 2025.gada 30.janvāra saistošajiem noteikumiem Nr.50 </w:t>
      </w:r>
    </w:p>
    <w:p w:rsidR="008F4F19" w:rsidRPr="00133CE1" w:rsidP="006F20E0" w14:paraId="54595617" w14:textId="1D5FB21A">
      <w:pPr>
        <w:spacing w:line="240" w:lineRule="atLeast"/>
        <w:jc w:val="center"/>
        <w:rPr>
          <w:b/>
        </w:rPr>
      </w:pPr>
      <w:r w:rsidRPr="00133CE1">
        <w:rPr>
          <w:b/>
        </w:rPr>
        <w:t>„Par Rēzeknes novada pašvaldības budžetu 2025.gadam”</w:t>
      </w:r>
      <w:r w:rsidRPr="00133CE1" w:rsidR="0034261A">
        <w:rPr>
          <w:b/>
        </w:rPr>
        <w:t xml:space="preserve"> </w:t>
      </w:r>
    </w:p>
    <w:p w:rsidR="00CA0C74" w:rsidRPr="00636B5C" w:rsidP="006F20E0" w14:paraId="254AAC0D" w14:textId="77777777">
      <w:pPr>
        <w:spacing w:line="240" w:lineRule="atLeast"/>
        <w:jc w:val="center"/>
        <w:rPr>
          <w:b/>
          <w:color w:val="FF0000"/>
        </w:rPr>
      </w:pPr>
    </w:p>
    <w:p w:rsidR="00133CE1" w:rsidRPr="00463A98" w:rsidP="006F20E0" w14:paraId="173B5995" w14:textId="77777777">
      <w:pPr>
        <w:pStyle w:val="NormalWeb"/>
        <w:spacing w:before="0" w:beforeAutospacing="0" w:after="0" w:afterAutospacing="0" w:line="240" w:lineRule="atLeast"/>
        <w:ind w:firstLine="720"/>
        <w:contextualSpacing/>
        <w:jc w:val="both"/>
        <w:rPr>
          <w:sz w:val="20"/>
          <w:szCs w:val="20"/>
        </w:rPr>
      </w:pPr>
      <w:r w:rsidRPr="00463A98">
        <w:rPr>
          <w:rStyle w:val="Strong"/>
          <w:b w:val="0"/>
          <w:bCs w:val="0"/>
          <w:sz w:val="20"/>
          <w:szCs w:val="20"/>
        </w:rPr>
        <w:t>Rēzeknes novadā ir 28 pagasti un Viļānu pilsēta</w:t>
      </w:r>
      <w:r w:rsidRPr="00463A98">
        <w:rPr>
          <w:b/>
          <w:bCs/>
          <w:sz w:val="20"/>
          <w:szCs w:val="20"/>
        </w:rPr>
        <w:t xml:space="preserve"> </w:t>
      </w:r>
      <w:r w:rsidRPr="00463A98">
        <w:rPr>
          <w:sz w:val="20"/>
          <w:szCs w:val="20"/>
        </w:rPr>
        <w:t xml:space="preserve">un </w:t>
      </w:r>
      <w:r w:rsidRPr="00463A98">
        <w:rPr>
          <w:sz w:val="20"/>
          <w:szCs w:val="20"/>
        </w:rPr>
        <w:t>kopējā novada</w:t>
      </w:r>
      <w:r w:rsidRPr="00463A98">
        <w:rPr>
          <w:b/>
          <w:bCs/>
          <w:sz w:val="20"/>
          <w:szCs w:val="20"/>
        </w:rPr>
        <w:t xml:space="preserve"> </w:t>
      </w:r>
      <w:r w:rsidRPr="00463A98">
        <w:rPr>
          <w:rStyle w:val="Strong"/>
          <w:b w:val="0"/>
          <w:bCs w:val="0"/>
          <w:sz w:val="20"/>
          <w:szCs w:val="20"/>
        </w:rPr>
        <w:t>platība ir 2809,12 km</w:t>
      </w:r>
      <w:r w:rsidRPr="00463A98">
        <w:rPr>
          <w:rStyle w:val="Strong"/>
          <w:b w:val="0"/>
          <w:bCs w:val="0"/>
          <w:sz w:val="20"/>
          <w:szCs w:val="20"/>
          <w:vertAlign w:val="superscript"/>
        </w:rPr>
        <w:t>2</w:t>
      </w:r>
      <w:r w:rsidRPr="00463A98">
        <w:rPr>
          <w:sz w:val="20"/>
          <w:szCs w:val="20"/>
        </w:rPr>
        <w:t>. Rēzeknes novads atrodas pašā Latgales vidū</w:t>
      </w:r>
      <w:r>
        <w:rPr>
          <w:sz w:val="20"/>
          <w:szCs w:val="20"/>
        </w:rPr>
        <w:t>, starp diviem lielākajiem Latvijas ezeriem – Lubānu ziemeļrietumos un Rāznu dienvidaustrumos</w:t>
      </w:r>
      <w:r w:rsidRPr="00463A98">
        <w:rPr>
          <w:sz w:val="20"/>
          <w:szCs w:val="20"/>
        </w:rPr>
        <w:t xml:space="preserve">. Tā lielākā daļa atrodas Latgales augstienē, tās ziemeļu un ziemeļrietumu nogāzē. </w:t>
      </w:r>
    </w:p>
    <w:p w:rsidR="00133CE1" w:rsidRPr="00463A98" w:rsidP="006F20E0" w14:paraId="5AE86392" w14:textId="77777777">
      <w:pPr>
        <w:pStyle w:val="NormalWeb"/>
        <w:spacing w:before="0" w:beforeAutospacing="0" w:after="0" w:afterAutospacing="0" w:line="240" w:lineRule="atLeast"/>
        <w:ind w:firstLine="720"/>
        <w:contextualSpacing/>
        <w:jc w:val="both"/>
        <w:rPr>
          <w:sz w:val="20"/>
          <w:szCs w:val="20"/>
        </w:rPr>
      </w:pPr>
      <w:r w:rsidRPr="00463A98">
        <w:rPr>
          <w:sz w:val="20"/>
          <w:szCs w:val="20"/>
        </w:rPr>
        <w:t>Gleznainā daba, kultūrvēsturiskie un dabas objekti ir labs priekšnoteikums tūrisma attīstībai.  Uzņēmumi, kas darbojas tūrisma nozarē piedāvā gan atpūtu pie ūdeņiem, gan arī iespēju iepazīt kultūrvēsturiskās bagātības, apmeklēt svētkus un nobaudīt īpatnējo Latgales kulināro mantojumu, izjust latgaliešu valodas un viesmīlības īpašo burvību.</w:t>
      </w:r>
    </w:p>
    <w:p w:rsidR="00133CE1" w:rsidRPr="00463A98" w:rsidP="006F20E0" w14:paraId="2040CBF5" w14:textId="77777777">
      <w:pPr>
        <w:pStyle w:val="NormalWeb"/>
        <w:spacing w:before="0" w:beforeAutospacing="0" w:after="0" w:afterAutospacing="0" w:line="240" w:lineRule="atLeast"/>
        <w:ind w:firstLine="720"/>
        <w:contextualSpacing/>
        <w:jc w:val="both"/>
        <w:rPr>
          <w:sz w:val="20"/>
          <w:szCs w:val="20"/>
        </w:rPr>
      </w:pPr>
      <w:r w:rsidRPr="00463A98">
        <w:rPr>
          <w:sz w:val="20"/>
          <w:szCs w:val="20"/>
        </w:rPr>
        <w:t>Rēzeknes novads var lepoties arī ar nemateriālām kultūras vērtībām – mākslinieciskiem kolektīviem, lietišķās mākslas un seno arodu meistariem, talantīgām un neordinārām personībām.</w:t>
      </w:r>
    </w:p>
    <w:p w:rsidR="00133CE1" w:rsidRPr="00463A98" w:rsidP="006F20E0" w14:paraId="70DD2967" w14:textId="77777777">
      <w:pPr>
        <w:pStyle w:val="NormalWeb"/>
        <w:spacing w:before="0" w:beforeAutospacing="0" w:after="0" w:afterAutospacing="0" w:line="240" w:lineRule="atLeast"/>
        <w:ind w:firstLine="720"/>
        <w:contextualSpacing/>
        <w:jc w:val="both"/>
        <w:rPr>
          <w:sz w:val="20"/>
          <w:szCs w:val="20"/>
        </w:rPr>
      </w:pPr>
      <w:r w:rsidRPr="00463A98">
        <w:rPr>
          <w:sz w:val="20"/>
          <w:szCs w:val="20"/>
        </w:rPr>
        <w:t>Rēzeknes novads ir viens no bagātākajiem novadiem Latvijā ar kultūras pieminekļiem. Valsts aizsargājamo kultūras pieminekļu sarakstā ir iekļauti 277 Rēzeknes novadā esošie kultūras pieminekļi.</w:t>
      </w:r>
    </w:p>
    <w:p w:rsidR="00133CE1" w:rsidRPr="00463A98" w:rsidP="006F20E0" w14:paraId="6F8A457B" w14:textId="77777777">
      <w:pPr>
        <w:pStyle w:val="NormalWeb"/>
        <w:spacing w:before="0" w:beforeAutospacing="0" w:after="0" w:afterAutospacing="0" w:line="240" w:lineRule="atLeast"/>
        <w:ind w:firstLine="720"/>
        <w:contextualSpacing/>
        <w:jc w:val="both"/>
        <w:rPr>
          <w:sz w:val="20"/>
          <w:szCs w:val="20"/>
        </w:rPr>
      </w:pPr>
      <w:r w:rsidRPr="00463A98">
        <w:rPr>
          <w:sz w:val="20"/>
          <w:szCs w:val="20"/>
        </w:rPr>
        <w:t>Lielākie rūpniecības uzņēmumi ir RSEZ SIA “Verems” Vērēmu pagastā, RSEZ SIA “LEAX Rēzekne” Ozolaines pagastā. Lauksaimniecības sfērā aktīvi darbojas SIA “Sprūževa M” Griškānu pagastā, AS "Viļānu selekcijas un izmēģinājumu stacija" (augkopība un lopkopība, elektroenerģijas ražošana un elektroenerģijas tirdzniecība, izveidota Viļānu biogāzes koģenerācijas stacija), AS “Lopkopības izmēģinājumu stacija Latgale” (augkopība un lopkopība, piena lopkopība, dārzeņkopība, dārzkopība, lauksaimnieciskie pakalpojumi, me</w:t>
      </w:r>
      <w:r w:rsidRPr="00463A98">
        <w:rPr>
          <w:sz w:val="20"/>
          <w:szCs w:val="20"/>
        </w:rPr>
        <w:t>dniecība, mežsaimniecība, kokmateriālu sagatavošana, pētījumu un eksperimentu veikšana dabaszinātnēs un tehniskajās zinātnēs), Lauksaimniecības pakalpojumu kooperatīvā sabiedrība “Viļāni” (piena produktu, olu, pārtikas eļļu un tauku vairumtirdzniecības pakalpojumi). Mežsaimniecības nozarē aktīvi darbojas Sakstagala pagasta zemnieku saimniecība “VIRŠI AG”  un SIA “SKAIDA PV”.</w:t>
      </w:r>
    </w:p>
    <w:p w:rsidR="00636B5C" w:rsidRPr="00133CE1" w:rsidP="006F20E0" w14:paraId="7385A140" w14:textId="77777777">
      <w:pPr>
        <w:autoSpaceDE w:val="0"/>
        <w:autoSpaceDN w:val="0"/>
        <w:adjustRightInd w:val="0"/>
        <w:spacing w:line="240" w:lineRule="atLeast"/>
        <w:ind w:firstLine="720"/>
        <w:contextualSpacing/>
        <w:jc w:val="center"/>
        <w:rPr>
          <w:rStyle w:val="Strong"/>
          <w:rFonts w:eastAsia="Calibri"/>
          <w:sz w:val="20"/>
          <w:szCs w:val="20"/>
          <w:lang w:eastAsia="en-US"/>
        </w:rPr>
      </w:pPr>
      <w:r w:rsidRPr="00133CE1">
        <w:rPr>
          <w:rFonts w:eastAsia="Calibri"/>
          <w:b/>
          <w:bCs/>
          <w:sz w:val="20"/>
          <w:szCs w:val="20"/>
          <w:lang w:eastAsia="en-US"/>
        </w:rPr>
        <w:t>Rēzeknes novada pašvaldības struktūra</w:t>
      </w:r>
    </w:p>
    <w:p w:rsidR="00636B5C" w:rsidRPr="00133CE1" w:rsidP="006F20E0" w14:paraId="688809F6" w14:textId="77777777">
      <w:pPr>
        <w:numPr>
          <w:ilvl w:val="0"/>
          <w:numId w:val="18"/>
        </w:numPr>
        <w:spacing w:line="240" w:lineRule="atLeast"/>
        <w:ind w:right="-1"/>
        <w:contextualSpacing/>
        <w:jc w:val="both"/>
        <w:rPr>
          <w:sz w:val="20"/>
          <w:szCs w:val="20"/>
        </w:rPr>
      </w:pPr>
      <w:r w:rsidRPr="00133CE1">
        <w:rPr>
          <w:sz w:val="20"/>
          <w:szCs w:val="20"/>
        </w:rPr>
        <w:t>Rēzeknes novada pašvaldības teritorijai ir šāds iedalījums:</w:t>
      </w:r>
    </w:p>
    <w:p w:rsidR="00636B5C" w:rsidRPr="00133CE1" w:rsidP="006F20E0" w14:paraId="45F309FE" w14:textId="77777777">
      <w:pPr>
        <w:numPr>
          <w:ilvl w:val="1"/>
          <w:numId w:val="18"/>
        </w:numPr>
        <w:spacing w:line="240" w:lineRule="atLeast"/>
        <w:ind w:right="-1"/>
        <w:contextualSpacing/>
        <w:jc w:val="both"/>
        <w:rPr>
          <w:sz w:val="20"/>
          <w:szCs w:val="20"/>
        </w:rPr>
      </w:pPr>
      <w:r w:rsidRPr="00133CE1">
        <w:rPr>
          <w:sz w:val="20"/>
          <w:szCs w:val="20"/>
        </w:rPr>
        <w:t xml:space="preserve">Dricānu apvienība - </w:t>
      </w:r>
      <w:r w:rsidRPr="00133CE1">
        <w:rPr>
          <w:bCs/>
          <w:sz w:val="20"/>
          <w:szCs w:val="20"/>
        </w:rPr>
        <w:t>Dricānu pagasts, Gaigalavas pagasts, Kantinieku pagasts, Nagļu pagasts, Ozolmuižas pagasts, Rikavas pagasts, Sakstagala pagasts, Stružānu pagasts;</w:t>
      </w:r>
    </w:p>
    <w:p w:rsidR="00636B5C" w:rsidRPr="00133CE1" w:rsidP="006F20E0" w14:paraId="17D33722" w14:textId="77777777">
      <w:pPr>
        <w:numPr>
          <w:ilvl w:val="1"/>
          <w:numId w:val="18"/>
        </w:numPr>
        <w:spacing w:line="240" w:lineRule="atLeast"/>
        <w:ind w:right="-1"/>
        <w:contextualSpacing/>
        <w:jc w:val="both"/>
        <w:rPr>
          <w:sz w:val="20"/>
          <w:szCs w:val="20"/>
        </w:rPr>
      </w:pPr>
      <w:r w:rsidRPr="00133CE1">
        <w:rPr>
          <w:bCs/>
          <w:sz w:val="20"/>
          <w:szCs w:val="20"/>
        </w:rPr>
        <w:t>Kaunatas apvienība - Čornajas pagasts, Griškānu pagasts, Kaunatas pagasts, Mākoņkalna pagasts, Stoļerovas pagasts;</w:t>
      </w:r>
    </w:p>
    <w:p w:rsidR="00636B5C" w:rsidRPr="00133CE1" w:rsidP="006F20E0" w14:paraId="1CF6CF5F" w14:textId="77777777">
      <w:pPr>
        <w:numPr>
          <w:ilvl w:val="1"/>
          <w:numId w:val="18"/>
        </w:numPr>
        <w:spacing w:line="240" w:lineRule="atLeast"/>
        <w:ind w:right="-1"/>
        <w:contextualSpacing/>
        <w:jc w:val="both"/>
        <w:rPr>
          <w:sz w:val="20"/>
          <w:szCs w:val="20"/>
        </w:rPr>
      </w:pPr>
      <w:r w:rsidRPr="00133CE1">
        <w:rPr>
          <w:sz w:val="20"/>
          <w:szCs w:val="20"/>
        </w:rPr>
        <w:t xml:space="preserve">Nautrēnu apvienība - </w:t>
      </w:r>
      <w:r w:rsidRPr="00133CE1">
        <w:rPr>
          <w:bCs/>
          <w:sz w:val="20"/>
          <w:szCs w:val="20"/>
        </w:rPr>
        <w:t>Audriņu pagasts, Bērzgales pagasts, Ilzeskalna pagasts, Lendžu pagasts, Nautrēnu pagasts, Vērēmu pagasts;</w:t>
      </w:r>
    </w:p>
    <w:p w:rsidR="00636B5C" w:rsidRPr="00133CE1" w:rsidP="006F20E0" w14:paraId="437E35F2" w14:textId="77777777">
      <w:pPr>
        <w:numPr>
          <w:ilvl w:val="1"/>
          <w:numId w:val="18"/>
        </w:numPr>
        <w:spacing w:line="240" w:lineRule="atLeast"/>
        <w:ind w:right="-1"/>
        <w:contextualSpacing/>
        <w:jc w:val="both"/>
        <w:rPr>
          <w:sz w:val="20"/>
          <w:szCs w:val="20"/>
        </w:rPr>
      </w:pPr>
      <w:r w:rsidRPr="00133CE1">
        <w:rPr>
          <w:sz w:val="20"/>
          <w:szCs w:val="20"/>
        </w:rPr>
        <w:t xml:space="preserve">Maltas apvienība - </w:t>
      </w:r>
      <w:r w:rsidRPr="00133CE1">
        <w:rPr>
          <w:bCs/>
          <w:sz w:val="20"/>
          <w:szCs w:val="20"/>
        </w:rPr>
        <w:t>Feimaņu pagasts, Lūznavas pagasts, Maltas pagasts, Ozolaines pagasts, Pušas pagasts, Silmalas pagasts;</w:t>
      </w:r>
    </w:p>
    <w:p w:rsidR="00636B5C" w:rsidRPr="00133CE1" w:rsidP="006F20E0" w14:paraId="5BE854DC" w14:textId="77777777">
      <w:pPr>
        <w:numPr>
          <w:ilvl w:val="1"/>
          <w:numId w:val="18"/>
        </w:numPr>
        <w:spacing w:line="240" w:lineRule="atLeast"/>
        <w:ind w:right="-1"/>
        <w:contextualSpacing/>
        <w:jc w:val="both"/>
        <w:rPr>
          <w:sz w:val="20"/>
          <w:szCs w:val="20"/>
        </w:rPr>
      </w:pPr>
      <w:r w:rsidRPr="00133CE1">
        <w:rPr>
          <w:sz w:val="20"/>
          <w:szCs w:val="20"/>
        </w:rPr>
        <w:t xml:space="preserve">Viļānu apvienība - </w:t>
      </w:r>
      <w:r w:rsidRPr="00133CE1">
        <w:rPr>
          <w:bCs/>
          <w:sz w:val="20"/>
          <w:szCs w:val="20"/>
        </w:rPr>
        <w:t>Dekšāres pagasts, Sokolku pagasts, Viļānu pagasts, Viļānu pilsēta.</w:t>
      </w:r>
    </w:p>
    <w:p w:rsidR="00636B5C" w:rsidRPr="00133CE1" w:rsidP="006F20E0" w14:paraId="7B0C74DA" w14:textId="77777777">
      <w:pPr>
        <w:numPr>
          <w:ilvl w:val="0"/>
          <w:numId w:val="18"/>
        </w:numPr>
        <w:spacing w:line="240" w:lineRule="atLeast"/>
        <w:ind w:right="-1"/>
        <w:contextualSpacing/>
        <w:jc w:val="both"/>
        <w:rPr>
          <w:sz w:val="20"/>
          <w:szCs w:val="20"/>
        </w:rPr>
      </w:pPr>
      <w:r w:rsidRPr="00133CE1">
        <w:rPr>
          <w:sz w:val="20"/>
          <w:szCs w:val="20"/>
        </w:rPr>
        <w:t xml:space="preserve">Pašvaldības iedzīvotāju pārstāvību nodrošina to ievēlēts pašvaldības lēmējorgāns – dome, kas pieņem lēmumus, nosaka pašvaldības institucionālo struktūru, lemj par autonomo funkciju un brīvprātīgo iniciatīvu īstenošanu un par kārtību, kādā nodrošina pašvaldībai deleģēto valsts pārvaldes funkciju un pārvaldes uzdevumu izpildi, izstrādā un izpilda pašvaldības budžetu. Pašvaldības dome atbilstoši kompetencei ir atbildīga par pašvaldības institūciju tiesisku darbību un finanšu līdzekļu izlietojumu. </w:t>
      </w:r>
    </w:p>
    <w:p w:rsidR="00636B5C" w:rsidRPr="00133CE1" w:rsidP="006F20E0" w14:paraId="27EBD5D8" w14:textId="77777777">
      <w:pPr>
        <w:numPr>
          <w:ilvl w:val="0"/>
          <w:numId w:val="18"/>
        </w:numPr>
        <w:spacing w:line="240" w:lineRule="atLeast"/>
        <w:ind w:right="-1"/>
        <w:contextualSpacing/>
        <w:jc w:val="both"/>
        <w:rPr>
          <w:sz w:val="20"/>
          <w:szCs w:val="20"/>
        </w:rPr>
      </w:pPr>
      <w:r w:rsidRPr="00133CE1">
        <w:rPr>
          <w:sz w:val="20"/>
          <w:szCs w:val="20"/>
        </w:rPr>
        <w:t xml:space="preserve">Dome atbilstoši Pašvaldības domes vēlēšanu likumam sastāv no 19 (deviņpadsmit) deputātiem. </w:t>
      </w:r>
    </w:p>
    <w:p w:rsidR="00636B5C" w:rsidRPr="00133CE1" w:rsidP="006F20E0" w14:paraId="1D7782AF" w14:textId="77777777">
      <w:pPr>
        <w:numPr>
          <w:ilvl w:val="0"/>
          <w:numId w:val="18"/>
        </w:numPr>
        <w:spacing w:line="240" w:lineRule="atLeast"/>
        <w:ind w:right="-1"/>
        <w:contextualSpacing/>
        <w:jc w:val="both"/>
        <w:rPr>
          <w:sz w:val="20"/>
          <w:szCs w:val="20"/>
        </w:rPr>
      </w:pPr>
      <w:r w:rsidRPr="00133CE1">
        <w:rPr>
          <w:sz w:val="20"/>
          <w:szCs w:val="20"/>
        </w:rPr>
        <w:t>Lai nodrošinātu savu darbību un izstrādātu domes lēmumprojektus, dome no pašvaldības deputātiem ievēl šādas pastāvīgās komitejas:</w:t>
      </w:r>
    </w:p>
    <w:p w:rsidR="00636B5C" w:rsidRPr="00133CE1" w:rsidP="006F20E0" w14:paraId="0CDD246E" w14:textId="77777777">
      <w:pPr>
        <w:numPr>
          <w:ilvl w:val="1"/>
          <w:numId w:val="18"/>
        </w:numPr>
        <w:spacing w:line="240" w:lineRule="atLeast"/>
        <w:ind w:right="-1"/>
        <w:contextualSpacing/>
        <w:jc w:val="both"/>
        <w:rPr>
          <w:sz w:val="20"/>
          <w:szCs w:val="20"/>
        </w:rPr>
      </w:pPr>
      <w:r w:rsidRPr="00133CE1">
        <w:rPr>
          <w:sz w:val="20"/>
          <w:szCs w:val="20"/>
        </w:rPr>
        <w:t>Finanšu komiteju astoņu locekļu sastāvā;</w:t>
      </w:r>
    </w:p>
    <w:p w:rsidR="00636B5C" w:rsidRPr="00133CE1" w:rsidP="006F20E0" w14:paraId="1ACB53EC" w14:textId="77777777">
      <w:pPr>
        <w:numPr>
          <w:ilvl w:val="1"/>
          <w:numId w:val="18"/>
        </w:numPr>
        <w:spacing w:line="240" w:lineRule="atLeast"/>
        <w:ind w:right="-1"/>
        <w:contextualSpacing/>
        <w:jc w:val="both"/>
        <w:rPr>
          <w:sz w:val="20"/>
          <w:szCs w:val="20"/>
        </w:rPr>
      </w:pPr>
      <w:r w:rsidRPr="00133CE1">
        <w:rPr>
          <w:sz w:val="20"/>
          <w:szCs w:val="20"/>
        </w:rPr>
        <w:t>Izglītības, kultūras un sporta jautājumu komiteju astoņu locekļu sastāvā;</w:t>
      </w:r>
    </w:p>
    <w:p w:rsidR="00636B5C" w:rsidRPr="00133CE1" w:rsidP="006F20E0" w14:paraId="055F54E9" w14:textId="77777777">
      <w:pPr>
        <w:numPr>
          <w:ilvl w:val="1"/>
          <w:numId w:val="18"/>
        </w:numPr>
        <w:spacing w:line="240" w:lineRule="atLeast"/>
        <w:ind w:right="-1"/>
        <w:contextualSpacing/>
        <w:jc w:val="both"/>
        <w:rPr>
          <w:sz w:val="20"/>
          <w:szCs w:val="20"/>
        </w:rPr>
      </w:pPr>
      <w:r w:rsidRPr="00133CE1">
        <w:rPr>
          <w:sz w:val="20"/>
          <w:szCs w:val="20"/>
        </w:rPr>
        <w:t>Sociālo un veselības aizsardzības jautājumu komiteju astoņu locekļu sastāvā;</w:t>
      </w:r>
    </w:p>
    <w:p w:rsidR="00636B5C" w:rsidRPr="00133CE1" w:rsidP="006F20E0" w14:paraId="35492FC2" w14:textId="77777777">
      <w:pPr>
        <w:numPr>
          <w:ilvl w:val="1"/>
          <w:numId w:val="18"/>
        </w:numPr>
        <w:spacing w:line="240" w:lineRule="atLeast"/>
        <w:ind w:right="-1"/>
        <w:contextualSpacing/>
        <w:jc w:val="both"/>
        <w:rPr>
          <w:sz w:val="20"/>
          <w:szCs w:val="20"/>
        </w:rPr>
      </w:pPr>
      <w:r w:rsidRPr="00133CE1">
        <w:rPr>
          <w:sz w:val="20"/>
          <w:szCs w:val="20"/>
        </w:rPr>
        <w:t>Tautsaimniecības attīstības jautājumu komiteju astoņu locekļu sastāvā;</w:t>
      </w:r>
    </w:p>
    <w:p w:rsidR="00636B5C" w:rsidRPr="00133CE1" w:rsidP="006F20E0" w14:paraId="53B9F965" w14:textId="77777777">
      <w:pPr>
        <w:numPr>
          <w:ilvl w:val="1"/>
          <w:numId w:val="18"/>
        </w:numPr>
        <w:spacing w:line="240" w:lineRule="atLeast"/>
        <w:ind w:right="-1"/>
        <w:contextualSpacing/>
        <w:jc w:val="both"/>
        <w:rPr>
          <w:sz w:val="20"/>
          <w:szCs w:val="20"/>
        </w:rPr>
      </w:pPr>
      <w:r w:rsidRPr="00133CE1">
        <w:rPr>
          <w:sz w:val="20"/>
          <w:szCs w:val="20"/>
        </w:rPr>
        <w:t xml:space="preserve">Teritoriālo komiteju astoņu locekļu sastāvā. </w:t>
      </w:r>
    </w:p>
    <w:p w:rsidR="00636B5C" w:rsidRPr="00E6424E" w:rsidP="006F20E0" w14:paraId="20A18251" w14:textId="77777777">
      <w:pPr>
        <w:numPr>
          <w:ilvl w:val="0"/>
          <w:numId w:val="18"/>
        </w:numPr>
        <w:spacing w:line="240" w:lineRule="atLeast"/>
        <w:ind w:right="-1"/>
        <w:contextualSpacing/>
        <w:jc w:val="both"/>
        <w:rPr>
          <w:sz w:val="20"/>
          <w:szCs w:val="20"/>
        </w:rPr>
      </w:pPr>
      <w:r w:rsidRPr="00E6424E">
        <w:rPr>
          <w:sz w:val="20"/>
          <w:szCs w:val="20"/>
        </w:rPr>
        <w:t>Pašvaldības dome ir izveidojusi šādas iestādes:</w:t>
      </w:r>
    </w:p>
    <w:p w:rsidR="00636B5C" w:rsidRPr="00E6424E" w:rsidP="006F20E0" w14:paraId="6F11231B" w14:textId="77777777">
      <w:pPr>
        <w:numPr>
          <w:ilvl w:val="1"/>
          <w:numId w:val="18"/>
        </w:numPr>
        <w:spacing w:line="240" w:lineRule="atLeast"/>
        <w:ind w:right="-1"/>
        <w:contextualSpacing/>
        <w:jc w:val="both"/>
        <w:rPr>
          <w:sz w:val="20"/>
          <w:szCs w:val="20"/>
        </w:rPr>
      </w:pPr>
      <w:r w:rsidRPr="00E6424E">
        <w:rPr>
          <w:sz w:val="20"/>
          <w:szCs w:val="20"/>
        </w:rPr>
        <w:t>Centrālā pārvalde;</w:t>
      </w:r>
    </w:p>
    <w:p w:rsidR="00636B5C" w:rsidRPr="00E6424E" w:rsidP="006F20E0" w14:paraId="7F7CC029" w14:textId="77777777">
      <w:pPr>
        <w:numPr>
          <w:ilvl w:val="1"/>
          <w:numId w:val="18"/>
        </w:numPr>
        <w:spacing w:line="240" w:lineRule="atLeast"/>
        <w:ind w:right="-1"/>
        <w:contextualSpacing/>
        <w:jc w:val="both"/>
        <w:rPr>
          <w:sz w:val="20"/>
          <w:szCs w:val="20"/>
        </w:rPr>
      </w:pPr>
      <w:r w:rsidRPr="00E6424E">
        <w:rPr>
          <w:sz w:val="20"/>
          <w:szCs w:val="20"/>
        </w:rPr>
        <w:t>Dricānu apvienības pārvalde;</w:t>
      </w:r>
    </w:p>
    <w:p w:rsidR="00636B5C" w:rsidRPr="00E6424E" w:rsidP="006F20E0" w14:paraId="6FE4E0C0" w14:textId="77777777">
      <w:pPr>
        <w:numPr>
          <w:ilvl w:val="1"/>
          <w:numId w:val="18"/>
        </w:numPr>
        <w:spacing w:line="240" w:lineRule="atLeast"/>
        <w:ind w:right="-1"/>
        <w:contextualSpacing/>
        <w:jc w:val="both"/>
        <w:rPr>
          <w:sz w:val="20"/>
          <w:szCs w:val="20"/>
        </w:rPr>
      </w:pPr>
      <w:r w:rsidRPr="00E6424E">
        <w:rPr>
          <w:sz w:val="20"/>
          <w:szCs w:val="20"/>
        </w:rPr>
        <w:t>Kaunatas apvienības pārvalde;</w:t>
      </w:r>
    </w:p>
    <w:p w:rsidR="00636B5C" w:rsidRPr="00E6424E" w:rsidP="006F20E0" w14:paraId="3A8F0955" w14:textId="77777777">
      <w:pPr>
        <w:numPr>
          <w:ilvl w:val="1"/>
          <w:numId w:val="18"/>
        </w:numPr>
        <w:spacing w:line="240" w:lineRule="atLeast"/>
        <w:ind w:right="-1"/>
        <w:contextualSpacing/>
        <w:jc w:val="both"/>
        <w:rPr>
          <w:sz w:val="20"/>
          <w:szCs w:val="20"/>
        </w:rPr>
      </w:pPr>
      <w:r w:rsidRPr="00E6424E">
        <w:rPr>
          <w:sz w:val="20"/>
          <w:szCs w:val="20"/>
        </w:rPr>
        <w:t xml:space="preserve">Maltas </w:t>
      </w:r>
      <w:r w:rsidRPr="00E6424E">
        <w:rPr>
          <w:sz w:val="20"/>
          <w:szCs w:val="20"/>
        </w:rPr>
        <w:t>apvienības pārvalde;</w:t>
      </w:r>
    </w:p>
    <w:p w:rsidR="00636B5C" w:rsidRPr="00E6424E" w:rsidP="006F20E0" w14:paraId="1C65C4CB" w14:textId="77777777">
      <w:pPr>
        <w:numPr>
          <w:ilvl w:val="1"/>
          <w:numId w:val="18"/>
        </w:numPr>
        <w:spacing w:line="240" w:lineRule="atLeast"/>
        <w:ind w:right="-1"/>
        <w:contextualSpacing/>
        <w:jc w:val="both"/>
        <w:rPr>
          <w:sz w:val="20"/>
          <w:szCs w:val="20"/>
        </w:rPr>
      </w:pPr>
      <w:r w:rsidRPr="00E6424E">
        <w:rPr>
          <w:sz w:val="20"/>
          <w:szCs w:val="20"/>
        </w:rPr>
        <w:t>Nautrēnu apvienības pārvalde;</w:t>
      </w:r>
    </w:p>
    <w:p w:rsidR="00636B5C" w:rsidRPr="00E6424E" w:rsidP="006F20E0" w14:paraId="073B5B18" w14:textId="77777777">
      <w:pPr>
        <w:numPr>
          <w:ilvl w:val="1"/>
          <w:numId w:val="18"/>
        </w:numPr>
        <w:spacing w:line="240" w:lineRule="atLeast"/>
        <w:ind w:right="-1"/>
        <w:contextualSpacing/>
        <w:jc w:val="both"/>
        <w:rPr>
          <w:sz w:val="20"/>
          <w:szCs w:val="20"/>
        </w:rPr>
      </w:pPr>
      <w:r w:rsidRPr="00E6424E">
        <w:rPr>
          <w:sz w:val="20"/>
          <w:szCs w:val="20"/>
        </w:rPr>
        <w:t>Viļānu apvienības pārvalde;</w:t>
      </w:r>
    </w:p>
    <w:p w:rsidR="00636B5C" w:rsidRPr="00E6424E" w:rsidP="006F20E0" w14:paraId="0B2255CE" w14:textId="77777777">
      <w:pPr>
        <w:numPr>
          <w:ilvl w:val="1"/>
          <w:numId w:val="18"/>
        </w:numPr>
        <w:spacing w:line="240" w:lineRule="atLeast"/>
        <w:ind w:right="-1"/>
        <w:contextualSpacing/>
        <w:jc w:val="both"/>
        <w:rPr>
          <w:sz w:val="20"/>
          <w:szCs w:val="20"/>
        </w:rPr>
      </w:pPr>
      <w:r w:rsidRPr="00E6424E">
        <w:rPr>
          <w:sz w:val="20"/>
          <w:szCs w:val="20"/>
        </w:rPr>
        <w:t>Rēzeknes novada bāriņtiesa;</w:t>
      </w:r>
    </w:p>
    <w:p w:rsidR="00636B5C" w:rsidRPr="00E6424E" w:rsidP="006F20E0" w14:paraId="3F426826" w14:textId="77777777">
      <w:pPr>
        <w:numPr>
          <w:ilvl w:val="1"/>
          <w:numId w:val="18"/>
        </w:numPr>
        <w:spacing w:line="240" w:lineRule="atLeast"/>
        <w:ind w:right="-1"/>
        <w:contextualSpacing/>
        <w:jc w:val="both"/>
        <w:rPr>
          <w:sz w:val="20"/>
          <w:szCs w:val="20"/>
        </w:rPr>
      </w:pPr>
      <w:r w:rsidRPr="00E6424E">
        <w:rPr>
          <w:sz w:val="20"/>
          <w:szCs w:val="20"/>
        </w:rPr>
        <w:t>Rēzeknes novada vēlēšanu komisija;</w:t>
      </w:r>
    </w:p>
    <w:p w:rsidR="00636B5C" w:rsidRPr="00E6424E" w:rsidP="006F20E0" w14:paraId="71A24900" w14:textId="77777777">
      <w:pPr>
        <w:numPr>
          <w:ilvl w:val="1"/>
          <w:numId w:val="18"/>
        </w:numPr>
        <w:spacing w:line="240" w:lineRule="atLeast"/>
        <w:ind w:right="-1"/>
        <w:contextualSpacing/>
        <w:jc w:val="both"/>
        <w:rPr>
          <w:sz w:val="20"/>
          <w:szCs w:val="20"/>
        </w:rPr>
      </w:pPr>
      <w:r w:rsidRPr="00E6424E">
        <w:rPr>
          <w:sz w:val="20"/>
          <w:szCs w:val="20"/>
        </w:rPr>
        <w:t>Kultūras un tūrisma pārvalde;</w:t>
      </w:r>
    </w:p>
    <w:p w:rsidR="00636B5C" w:rsidRPr="00E6424E" w:rsidP="006F20E0" w14:paraId="79D784F9" w14:textId="77777777">
      <w:pPr>
        <w:numPr>
          <w:ilvl w:val="1"/>
          <w:numId w:val="18"/>
        </w:numPr>
        <w:spacing w:line="240" w:lineRule="atLeast"/>
        <w:ind w:right="-1"/>
        <w:contextualSpacing/>
        <w:jc w:val="both"/>
        <w:rPr>
          <w:sz w:val="20"/>
          <w:szCs w:val="20"/>
        </w:rPr>
      </w:pPr>
      <w:r w:rsidRPr="00E6424E">
        <w:rPr>
          <w:sz w:val="20"/>
          <w:szCs w:val="20"/>
        </w:rPr>
        <w:t>Dricānu pirmsskolas izglītības iestāde;</w:t>
      </w:r>
    </w:p>
    <w:p w:rsidR="00636B5C" w:rsidRPr="00E6424E" w:rsidP="006F20E0" w14:paraId="5C154DF3" w14:textId="77777777">
      <w:pPr>
        <w:numPr>
          <w:ilvl w:val="1"/>
          <w:numId w:val="18"/>
        </w:numPr>
        <w:spacing w:line="240" w:lineRule="atLeast"/>
        <w:ind w:right="-1"/>
        <w:contextualSpacing/>
        <w:jc w:val="both"/>
        <w:rPr>
          <w:sz w:val="20"/>
          <w:szCs w:val="20"/>
        </w:rPr>
      </w:pPr>
      <w:r w:rsidRPr="00E6424E">
        <w:rPr>
          <w:sz w:val="20"/>
          <w:szCs w:val="20"/>
        </w:rPr>
        <w:t>Gaigalavas pirmsskolas izglītības iestāde;</w:t>
      </w:r>
    </w:p>
    <w:p w:rsidR="00636B5C" w:rsidRPr="00E6424E" w:rsidP="006F20E0" w14:paraId="385C491B" w14:textId="77777777">
      <w:pPr>
        <w:numPr>
          <w:ilvl w:val="1"/>
          <w:numId w:val="18"/>
        </w:numPr>
        <w:spacing w:line="240" w:lineRule="atLeast"/>
        <w:ind w:right="-1"/>
        <w:contextualSpacing/>
        <w:jc w:val="both"/>
        <w:rPr>
          <w:sz w:val="20"/>
          <w:szCs w:val="20"/>
        </w:rPr>
      </w:pPr>
      <w:r w:rsidRPr="00E6424E">
        <w:rPr>
          <w:sz w:val="20"/>
          <w:szCs w:val="20"/>
        </w:rPr>
        <w:t>Griškānu pirmsskolas izglītības iestāde "Sprīdītis";</w:t>
      </w:r>
    </w:p>
    <w:p w:rsidR="00636B5C" w:rsidRPr="00E6424E" w:rsidP="006F20E0" w14:paraId="476D64E1" w14:textId="77777777">
      <w:pPr>
        <w:numPr>
          <w:ilvl w:val="1"/>
          <w:numId w:val="18"/>
        </w:numPr>
        <w:spacing w:line="240" w:lineRule="atLeast"/>
        <w:ind w:right="-1"/>
        <w:contextualSpacing/>
        <w:jc w:val="both"/>
        <w:rPr>
          <w:sz w:val="20"/>
          <w:szCs w:val="20"/>
        </w:rPr>
      </w:pPr>
      <w:r w:rsidRPr="00E6424E">
        <w:rPr>
          <w:sz w:val="20"/>
          <w:szCs w:val="20"/>
        </w:rPr>
        <w:t>Kaunatas pirmsskolas izglītības iestāde "Zvaniņš";</w:t>
      </w:r>
    </w:p>
    <w:p w:rsidR="00636B5C" w:rsidRPr="00E6424E" w:rsidP="006F20E0" w14:paraId="4AC3DDEF" w14:textId="77777777">
      <w:pPr>
        <w:numPr>
          <w:ilvl w:val="1"/>
          <w:numId w:val="18"/>
        </w:numPr>
        <w:spacing w:line="240" w:lineRule="atLeast"/>
        <w:ind w:right="-1"/>
        <w:contextualSpacing/>
        <w:jc w:val="both"/>
        <w:rPr>
          <w:sz w:val="20"/>
          <w:szCs w:val="20"/>
        </w:rPr>
      </w:pPr>
      <w:r w:rsidRPr="00E6424E">
        <w:rPr>
          <w:sz w:val="20"/>
          <w:szCs w:val="20"/>
        </w:rPr>
        <w:t>Maltas pirmsskolas izglītības iestāde "Dzīpariņš";</w:t>
      </w:r>
    </w:p>
    <w:p w:rsidR="00636B5C" w:rsidRPr="00E6424E" w:rsidP="006F20E0" w14:paraId="5725FDA1" w14:textId="77777777">
      <w:pPr>
        <w:numPr>
          <w:ilvl w:val="1"/>
          <w:numId w:val="18"/>
        </w:numPr>
        <w:spacing w:line="240" w:lineRule="atLeast"/>
        <w:ind w:right="-1"/>
        <w:contextualSpacing/>
        <w:jc w:val="both"/>
        <w:rPr>
          <w:sz w:val="20"/>
          <w:szCs w:val="20"/>
        </w:rPr>
      </w:pPr>
      <w:r w:rsidRPr="00E6424E">
        <w:rPr>
          <w:sz w:val="20"/>
          <w:szCs w:val="20"/>
        </w:rPr>
        <w:t>Nautrēnu pirmsskolas izglītības iestāde "Vālodzīte";</w:t>
      </w:r>
    </w:p>
    <w:p w:rsidR="00636B5C" w:rsidRPr="00E6424E" w:rsidP="006F20E0" w14:paraId="677FE13A" w14:textId="77777777">
      <w:pPr>
        <w:numPr>
          <w:ilvl w:val="1"/>
          <w:numId w:val="18"/>
        </w:numPr>
        <w:spacing w:line="240" w:lineRule="atLeast"/>
        <w:ind w:right="-1"/>
        <w:contextualSpacing/>
        <w:jc w:val="both"/>
        <w:rPr>
          <w:sz w:val="20"/>
          <w:szCs w:val="20"/>
        </w:rPr>
      </w:pPr>
      <w:r w:rsidRPr="00E6424E">
        <w:rPr>
          <w:sz w:val="20"/>
          <w:szCs w:val="20"/>
        </w:rPr>
        <w:t>Ozolaines pirmsskolas izglītības iestāde "Jāņtārpiņš";</w:t>
      </w:r>
    </w:p>
    <w:p w:rsidR="00636B5C" w:rsidRPr="00E6424E" w:rsidP="006F20E0" w14:paraId="2FF062CF" w14:textId="77777777">
      <w:pPr>
        <w:numPr>
          <w:ilvl w:val="1"/>
          <w:numId w:val="18"/>
        </w:numPr>
        <w:spacing w:line="240" w:lineRule="atLeast"/>
        <w:ind w:right="-1"/>
        <w:contextualSpacing/>
        <w:jc w:val="both"/>
        <w:rPr>
          <w:sz w:val="20"/>
          <w:szCs w:val="20"/>
        </w:rPr>
      </w:pPr>
      <w:r w:rsidRPr="00E6424E">
        <w:rPr>
          <w:sz w:val="20"/>
          <w:szCs w:val="20"/>
        </w:rPr>
        <w:t>Uļjanovas pirmsskolas izglītības iestāde "Skudriņa";</w:t>
      </w:r>
    </w:p>
    <w:p w:rsidR="00636B5C" w:rsidRPr="00E6424E" w:rsidP="006F20E0" w14:paraId="340B78E4" w14:textId="77777777">
      <w:pPr>
        <w:numPr>
          <w:ilvl w:val="1"/>
          <w:numId w:val="18"/>
        </w:numPr>
        <w:spacing w:line="240" w:lineRule="atLeast"/>
        <w:ind w:right="-1"/>
        <w:contextualSpacing/>
        <w:jc w:val="both"/>
        <w:rPr>
          <w:sz w:val="20"/>
          <w:szCs w:val="20"/>
        </w:rPr>
      </w:pPr>
      <w:r w:rsidRPr="00E6424E">
        <w:rPr>
          <w:sz w:val="20"/>
          <w:szCs w:val="20"/>
        </w:rPr>
        <w:t>Silmalas pirmsskolas izglītības iestāde;</w:t>
      </w:r>
    </w:p>
    <w:p w:rsidR="00636B5C" w:rsidRPr="00E6424E" w:rsidP="006F20E0" w14:paraId="37298690" w14:textId="77777777">
      <w:pPr>
        <w:numPr>
          <w:ilvl w:val="1"/>
          <w:numId w:val="18"/>
        </w:numPr>
        <w:spacing w:line="240" w:lineRule="atLeast"/>
        <w:ind w:right="-1"/>
        <w:contextualSpacing/>
        <w:jc w:val="both"/>
        <w:rPr>
          <w:sz w:val="20"/>
          <w:szCs w:val="20"/>
        </w:rPr>
      </w:pPr>
      <w:r w:rsidRPr="00E6424E">
        <w:rPr>
          <w:sz w:val="20"/>
          <w:szCs w:val="20"/>
        </w:rPr>
        <w:t>Viļānu pilsētas pirmskolas izglītības iestāde;</w:t>
      </w:r>
    </w:p>
    <w:p w:rsidR="00636B5C" w:rsidRPr="00E6424E" w:rsidP="006F20E0" w14:paraId="4F1C23F2" w14:textId="77777777">
      <w:pPr>
        <w:numPr>
          <w:ilvl w:val="1"/>
          <w:numId w:val="18"/>
        </w:numPr>
        <w:spacing w:line="240" w:lineRule="atLeast"/>
        <w:ind w:right="-1"/>
        <w:contextualSpacing/>
        <w:jc w:val="both"/>
        <w:rPr>
          <w:sz w:val="20"/>
          <w:szCs w:val="20"/>
        </w:rPr>
      </w:pPr>
      <w:r w:rsidRPr="00E6424E">
        <w:rPr>
          <w:sz w:val="20"/>
          <w:szCs w:val="20"/>
        </w:rPr>
        <w:t>Viļānu pagasta pirmskolas izglītības iestāde "Bitīte";</w:t>
      </w:r>
    </w:p>
    <w:p w:rsidR="00636B5C" w:rsidRPr="00E6424E" w:rsidP="006F20E0" w14:paraId="059BC865" w14:textId="77777777">
      <w:pPr>
        <w:numPr>
          <w:ilvl w:val="1"/>
          <w:numId w:val="18"/>
        </w:numPr>
        <w:spacing w:line="240" w:lineRule="atLeast"/>
        <w:ind w:right="-1"/>
        <w:contextualSpacing/>
        <w:jc w:val="both"/>
        <w:rPr>
          <w:sz w:val="20"/>
          <w:szCs w:val="20"/>
        </w:rPr>
      </w:pPr>
      <w:r w:rsidRPr="00E6424E">
        <w:rPr>
          <w:sz w:val="20"/>
          <w:szCs w:val="20"/>
        </w:rPr>
        <w:t>Feimaņu pamatskola;</w:t>
      </w:r>
    </w:p>
    <w:p w:rsidR="00636B5C" w:rsidRPr="00E6424E" w:rsidP="006F20E0" w14:paraId="44637720" w14:textId="77777777">
      <w:pPr>
        <w:numPr>
          <w:ilvl w:val="1"/>
          <w:numId w:val="18"/>
        </w:numPr>
        <w:spacing w:line="240" w:lineRule="atLeast"/>
        <w:ind w:right="-1"/>
        <w:contextualSpacing/>
        <w:jc w:val="both"/>
        <w:rPr>
          <w:sz w:val="20"/>
          <w:szCs w:val="20"/>
        </w:rPr>
      </w:pPr>
      <w:r w:rsidRPr="00E6424E">
        <w:rPr>
          <w:sz w:val="20"/>
          <w:szCs w:val="20"/>
        </w:rPr>
        <w:t>Gaigalavas pamatskola;</w:t>
      </w:r>
    </w:p>
    <w:p w:rsidR="00636B5C" w:rsidRPr="00E6424E" w:rsidP="006F20E0" w14:paraId="36DDD573" w14:textId="77777777">
      <w:pPr>
        <w:numPr>
          <w:ilvl w:val="1"/>
          <w:numId w:val="18"/>
        </w:numPr>
        <w:spacing w:line="240" w:lineRule="atLeast"/>
        <w:ind w:right="-1"/>
        <w:contextualSpacing/>
        <w:jc w:val="both"/>
        <w:rPr>
          <w:sz w:val="20"/>
          <w:szCs w:val="20"/>
        </w:rPr>
      </w:pPr>
      <w:r w:rsidRPr="00E6424E">
        <w:rPr>
          <w:sz w:val="20"/>
          <w:szCs w:val="20"/>
        </w:rPr>
        <w:t>Rēznas pamatskola;</w:t>
      </w:r>
    </w:p>
    <w:p w:rsidR="00636B5C" w:rsidRPr="00E6424E" w:rsidP="006F20E0" w14:paraId="775279E9" w14:textId="77777777">
      <w:pPr>
        <w:numPr>
          <w:ilvl w:val="1"/>
          <w:numId w:val="18"/>
        </w:numPr>
        <w:spacing w:line="240" w:lineRule="atLeast"/>
        <w:ind w:right="-1"/>
        <w:contextualSpacing/>
        <w:jc w:val="both"/>
        <w:rPr>
          <w:sz w:val="20"/>
          <w:szCs w:val="20"/>
        </w:rPr>
      </w:pPr>
      <w:r w:rsidRPr="00E6424E">
        <w:rPr>
          <w:sz w:val="20"/>
          <w:szCs w:val="20"/>
        </w:rPr>
        <w:t>Sakstagala Jāņa Klīdzēja pamatskola;</w:t>
      </w:r>
    </w:p>
    <w:p w:rsidR="00636B5C" w:rsidRPr="00E6424E" w:rsidP="006F20E0" w14:paraId="321BD762" w14:textId="77777777">
      <w:pPr>
        <w:numPr>
          <w:ilvl w:val="1"/>
          <w:numId w:val="18"/>
        </w:numPr>
        <w:spacing w:line="240" w:lineRule="atLeast"/>
        <w:ind w:right="-1"/>
        <w:contextualSpacing/>
        <w:jc w:val="both"/>
        <w:rPr>
          <w:sz w:val="20"/>
          <w:szCs w:val="20"/>
        </w:rPr>
      </w:pPr>
      <w:r w:rsidRPr="00E6424E">
        <w:rPr>
          <w:sz w:val="20"/>
          <w:szCs w:val="20"/>
        </w:rPr>
        <w:t>Tiskādu pamatskola;</w:t>
      </w:r>
    </w:p>
    <w:p w:rsidR="00636B5C" w:rsidRPr="00E6424E" w:rsidP="006F20E0" w14:paraId="71228844" w14:textId="77777777">
      <w:pPr>
        <w:numPr>
          <w:ilvl w:val="1"/>
          <w:numId w:val="18"/>
        </w:numPr>
        <w:spacing w:line="240" w:lineRule="atLeast"/>
        <w:ind w:right="-1"/>
        <w:contextualSpacing/>
        <w:jc w:val="both"/>
        <w:rPr>
          <w:sz w:val="20"/>
          <w:szCs w:val="20"/>
        </w:rPr>
      </w:pPr>
      <w:r w:rsidRPr="00E6424E">
        <w:rPr>
          <w:sz w:val="20"/>
          <w:szCs w:val="20"/>
        </w:rPr>
        <w:t>Verēmu pamatskola;</w:t>
      </w:r>
    </w:p>
    <w:p w:rsidR="00636B5C" w:rsidRPr="00E6424E" w:rsidP="006F20E0" w14:paraId="54D28559" w14:textId="77777777">
      <w:pPr>
        <w:numPr>
          <w:ilvl w:val="1"/>
          <w:numId w:val="18"/>
        </w:numPr>
        <w:spacing w:line="240" w:lineRule="atLeast"/>
        <w:ind w:right="-1"/>
        <w:contextualSpacing/>
        <w:jc w:val="both"/>
        <w:rPr>
          <w:sz w:val="20"/>
          <w:szCs w:val="20"/>
        </w:rPr>
      </w:pPr>
      <w:r w:rsidRPr="00E6424E">
        <w:rPr>
          <w:sz w:val="20"/>
          <w:szCs w:val="20"/>
        </w:rPr>
        <w:t>Rozentovas pamatskola;</w:t>
      </w:r>
    </w:p>
    <w:p w:rsidR="00636B5C" w:rsidRPr="00E6424E" w:rsidP="006F20E0" w14:paraId="2B528FDC" w14:textId="77777777">
      <w:pPr>
        <w:numPr>
          <w:ilvl w:val="1"/>
          <w:numId w:val="18"/>
        </w:numPr>
        <w:spacing w:line="240" w:lineRule="atLeast"/>
        <w:ind w:right="-1"/>
        <w:contextualSpacing/>
        <w:jc w:val="both"/>
        <w:rPr>
          <w:sz w:val="20"/>
          <w:szCs w:val="20"/>
        </w:rPr>
      </w:pPr>
      <w:r w:rsidRPr="00E6424E">
        <w:rPr>
          <w:sz w:val="20"/>
          <w:szCs w:val="20"/>
        </w:rPr>
        <w:t>Dricānu vidusskola;</w:t>
      </w:r>
    </w:p>
    <w:p w:rsidR="00636B5C" w:rsidRPr="00E6424E" w:rsidP="006F20E0" w14:paraId="1965AD50" w14:textId="77777777">
      <w:pPr>
        <w:numPr>
          <w:ilvl w:val="1"/>
          <w:numId w:val="18"/>
        </w:numPr>
        <w:spacing w:line="240" w:lineRule="atLeast"/>
        <w:ind w:right="-1"/>
        <w:contextualSpacing/>
        <w:jc w:val="both"/>
        <w:rPr>
          <w:sz w:val="20"/>
          <w:szCs w:val="20"/>
        </w:rPr>
      </w:pPr>
      <w:r w:rsidRPr="00E6424E">
        <w:rPr>
          <w:sz w:val="20"/>
          <w:szCs w:val="20"/>
        </w:rPr>
        <w:t>Kaunatas vidusskola;</w:t>
      </w:r>
    </w:p>
    <w:p w:rsidR="00636B5C" w:rsidRPr="00E6424E" w:rsidP="006F20E0" w14:paraId="6CB686FD" w14:textId="77777777">
      <w:pPr>
        <w:numPr>
          <w:ilvl w:val="1"/>
          <w:numId w:val="18"/>
        </w:numPr>
        <w:spacing w:line="240" w:lineRule="atLeast"/>
        <w:ind w:right="-1"/>
        <w:contextualSpacing/>
        <w:jc w:val="both"/>
        <w:rPr>
          <w:sz w:val="20"/>
          <w:szCs w:val="20"/>
        </w:rPr>
      </w:pPr>
      <w:r w:rsidRPr="00E6424E">
        <w:rPr>
          <w:sz w:val="20"/>
          <w:szCs w:val="20"/>
        </w:rPr>
        <w:t>Lūcijas Rancānes Makašānu Amatu vidusskola;</w:t>
      </w:r>
    </w:p>
    <w:p w:rsidR="00636B5C" w:rsidRPr="00E6424E" w:rsidP="006F20E0" w14:paraId="31658934" w14:textId="77777777">
      <w:pPr>
        <w:numPr>
          <w:ilvl w:val="1"/>
          <w:numId w:val="18"/>
        </w:numPr>
        <w:spacing w:line="240" w:lineRule="atLeast"/>
        <w:ind w:right="-1"/>
        <w:contextualSpacing/>
        <w:jc w:val="both"/>
        <w:rPr>
          <w:sz w:val="20"/>
          <w:szCs w:val="20"/>
        </w:rPr>
      </w:pPr>
      <w:r w:rsidRPr="00E6424E">
        <w:rPr>
          <w:sz w:val="20"/>
          <w:szCs w:val="20"/>
        </w:rPr>
        <w:t>Maltas vidusskola;</w:t>
      </w:r>
    </w:p>
    <w:p w:rsidR="00636B5C" w:rsidRPr="00E6424E" w:rsidP="006F20E0" w14:paraId="1F4D5BF2" w14:textId="77777777">
      <w:pPr>
        <w:numPr>
          <w:ilvl w:val="1"/>
          <w:numId w:val="18"/>
        </w:numPr>
        <w:spacing w:line="240" w:lineRule="atLeast"/>
        <w:ind w:right="-1"/>
        <w:contextualSpacing/>
        <w:jc w:val="both"/>
        <w:rPr>
          <w:sz w:val="20"/>
          <w:szCs w:val="20"/>
        </w:rPr>
      </w:pPr>
      <w:r w:rsidRPr="00E6424E">
        <w:rPr>
          <w:sz w:val="20"/>
          <w:szCs w:val="20"/>
        </w:rPr>
        <w:t>Nautrēnu vidusskola;</w:t>
      </w:r>
    </w:p>
    <w:p w:rsidR="00636B5C" w:rsidRPr="00E6424E" w:rsidP="006F20E0" w14:paraId="75CD1466" w14:textId="77777777">
      <w:pPr>
        <w:numPr>
          <w:ilvl w:val="1"/>
          <w:numId w:val="18"/>
        </w:numPr>
        <w:spacing w:line="240" w:lineRule="atLeast"/>
        <w:ind w:right="-1"/>
        <w:contextualSpacing/>
        <w:jc w:val="both"/>
        <w:rPr>
          <w:sz w:val="20"/>
          <w:szCs w:val="20"/>
        </w:rPr>
      </w:pPr>
      <w:r w:rsidRPr="00E6424E">
        <w:rPr>
          <w:sz w:val="20"/>
          <w:szCs w:val="20"/>
        </w:rPr>
        <w:t>Viļānu vidusskola;</w:t>
      </w:r>
    </w:p>
    <w:p w:rsidR="00636B5C" w:rsidRPr="00E6424E" w:rsidP="006F20E0" w14:paraId="579483D1" w14:textId="77777777">
      <w:pPr>
        <w:numPr>
          <w:ilvl w:val="1"/>
          <w:numId w:val="18"/>
        </w:numPr>
        <w:spacing w:line="240" w:lineRule="atLeast"/>
        <w:ind w:right="-1"/>
        <w:contextualSpacing/>
        <w:jc w:val="both"/>
        <w:rPr>
          <w:sz w:val="20"/>
          <w:szCs w:val="20"/>
        </w:rPr>
      </w:pPr>
      <w:r w:rsidRPr="00E6424E">
        <w:rPr>
          <w:sz w:val="20"/>
          <w:szCs w:val="20"/>
        </w:rPr>
        <w:t>Maltas Mūzikas skola;</w:t>
      </w:r>
    </w:p>
    <w:p w:rsidR="00636B5C" w:rsidRPr="00E6424E" w:rsidP="006F20E0" w14:paraId="7791BF04" w14:textId="77777777">
      <w:pPr>
        <w:numPr>
          <w:ilvl w:val="1"/>
          <w:numId w:val="18"/>
        </w:numPr>
        <w:spacing w:line="240" w:lineRule="atLeast"/>
        <w:ind w:right="-1"/>
        <w:contextualSpacing/>
        <w:jc w:val="both"/>
        <w:rPr>
          <w:sz w:val="20"/>
          <w:szCs w:val="20"/>
        </w:rPr>
      </w:pPr>
      <w:r w:rsidRPr="00E6424E">
        <w:rPr>
          <w:sz w:val="20"/>
          <w:szCs w:val="20"/>
        </w:rPr>
        <w:t>Viļānu Mūzikas un mākslas skola;</w:t>
      </w:r>
    </w:p>
    <w:p w:rsidR="00636B5C" w:rsidRPr="00E6424E" w:rsidP="006F20E0" w14:paraId="2D59F158" w14:textId="77777777">
      <w:pPr>
        <w:numPr>
          <w:ilvl w:val="1"/>
          <w:numId w:val="18"/>
        </w:numPr>
        <w:spacing w:line="240" w:lineRule="atLeast"/>
        <w:ind w:right="-1"/>
        <w:contextualSpacing/>
        <w:jc w:val="both"/>
        <w:rPr>
          <w:sz w:val="20"/>
          <w:szCs w:val="20"/>
        </w:rPr>
      </w:pPr>
      <w:r w:rsidRPr="00E6424E">
        <w:rPr>
          <w:sz w:val="20"/>
          <w:szCs w:val="20"/>
        </w:rPr>
        <w:t>Rēzeknes novada Sporta skola;</w:t>
      </w:r>
    </w:p>
    <w:p w:rsidR="00636B5C" w:rsidRPr="00E6424E" w:rsidP="006F20E0" w14:paraId="6E8C7E3B" w14:textId="77777777">
      <w:pPr>
        <w:numPr>
          <w:ilvl w:val="1"/>
          <w:numId w:val="18"/>
        </w:numPr>
        <w:spacing w:line="240" w:lineRule="atLeast"/>
        <w:ind w:right="-1"/>
        <w:contextualSpacing/>
        <w:jc w:val="both"/>
        <w:rPr>
          <w:sz w:val="20"/>
          <w:szCs w:val="20"/>
        </w:rPr>
      </w:pPr>
      <w:r w:rsidRPr="00E6424E">
        <w:rPr>
          <w:sz w:val="20"/>
          <w:szCs w:val="20"/>
        </w:rPr>
        <w:t>Rēzeknes novada Sociālais dienests;</w:t>
      </w:r>
    </w:p>
    <w:p w:rsidR="00636B5C" w:rsidRPr="00E6424E" w:rsidP="006F20E0" w14:paraId="1ED37F4B" w14:textId="77777777">
      <w:pPr>
        <w:numPr>
          <w:ilvl w:val="1"/>
          <w:numId w:val="18"/>
        </w:numPr>
        <w:spacing w:line="240" w:lineRule="atLeast"/>
        <w:ind w:right="-1"/>
        <w:contextualSpacing/>
        <w:jc w:val="both"/>
        <w:rPr>
          <w:sz w:val="20"/>
          <w:szCs w:val="20"/>
        </w:rPr>
      </w:pPr>
      <w:r w:rsidRPr="00E6424E">
        <w:rPr>
          <w:sz w:val="20"/>
          <w:szCs w:val="20"/>
        </w:rPr>
        <w:t>Rēzeknes novada sociālās aprūpes centrs;</w:t>
      </w:r>
    </w:p>
    <w:p w:rsidR="00636B5C" w:rsidRPr="00E6424E" w:rsidP="006F20E0" w14:paraId="32C71C6A" w14:textId="77777777">
      <w:pPr>
        <w:numPr>
          <w:ilvl w:val="1"/>
          <w:numId w:val="18"/>
        </w:numPr>
        <w:spacing w:line="240" w:lineRule="atLeast"/>
        <w:ind w:right="-1"/>
        <w:contextualSpacing/>
        <w:jc w:val="both"/>
        <w:rPr>
          <w:sz w:val="20"/>
          <w:szCs w:val="20"/>
        </w:rPr>
      </w:pPr>
      <w:r w:rsidRPr="00E6424E">
        <w:rPr>
          <w:sz w:val="20"/>
          <w:szCs w:val="20"/>
        </w:rPr>
        <w:t>Daudzfunkcionālais sociālo pakalpojumu centrs "Vecružina";</w:t>
      </w:r>
    </w:p>
    <w:p w:rsidR="00636B5C" w:rsidRPr="00E6424E" w:rsidP="006F20E0" w14:paraId="1B99E2E1" w14:textId="77777777">
      <w:pPr>
        <w:numPr>
          <w:ilvl w:val="1"/>
          <w:numId w:val="18"/>
        </w:numPr>
        <w:spacing w:line="240" w:lineRule="atLeast"/>
        <w:ind w:right="-1"/>
        <w:contextualSpacing/>
        <w:jc w:val="both"/>
        <w:rPr>
          <w:sz w:val="20"/>
          <w:szCs w:val="20"/>
        </w:rPr>
      </w:pPr>
      <w:r w:rsidRPr="00E6424E">
        <w:rPr>
          <w:sz w:val="20"/>
          <w:szCs w:val="20"/>
        </w:rPr>
        <w:t>Veselības un sociālās aprūpes centrs "Viļāni";</w:t>
      </w:r>
    </w:p>
    <w:p w:rsidR="00636B5C" w:rsidRPr="00871B13" w:rsidP="006F20E0" w14:paraId="79A19971" w14:textId="77777777">
      <w:pPr>
        <w:numPr>
          <w:ilvl w:val="1"/>
          <w:numId w:val="18"/>
        </w:numPr>
        <w:spacing w:line="240" w:lineRule="atLeast"/>
        <w:ind w:right="-1"/>
        <w:contextualSpacing/>
        <w:jc w:val="both"/>
        <w:rPr>
          <w:sz w:val="20"/>
          <w:szCs w:val="20"/>
        </w:rPr>
      </w:pPr>
      <w:r w:rsidRPr="00E6424E">
        <w:rPr>
          <w:sz w:val="20"/>
          <w:szCs w:val="20"/>
        </w:rPr>
        <w:t xml:space="preserve">Rēzeknes novada un Rēzeknes valstspilsētas pašvaldību kopīgā iestāde "Rēzeknes speciālās ekonomiskās </w:t>
      </w:r>
      <w:r w:rsidRPr="00871B13">
        <w:rPr>
          <w:sz w:val="20"/>
          <w:szCs w:val="20"/>
        </w:rPr>
        <w:t>zonas pārvalde";</w:t>
      </w:r>
    </w:p>
    <w:p w:rsidR="00636B5C" w:rsidRPr="00871B13" w:rsidP="006F20E0" w14:paraId="47887DBC" w14:textId="77777777">
      <w:pPr>
        <w:numPr>
          <w:ilvl w:val="1"/>
          <w:numId w:val="18"/>
        </w:numPr>
        <w:spacing w:line="240" w:lineRule="atLeast"/>
        <w:ind w:right="-1"/>
        <w:contextualSpacing/>
        <w:jc w:val="both"/>
        <w:rPr>
          <w:sz w:val="20"/>
          <w:szCs w:val="20"/>
        </w:rPr>
      </w:pPr>
      <w:r w:rsidRPr="00871B13">
        <w:rPr>
          <w:sz w:val="20"/>
          <w:szCs w:val="20"/>
        </w:rPr>
        <w:t>Rēzeknes novada pašvaldības policija.</w:t>
      </w:r>
    </w:p>
    <w:p w:rsidR="00636B5C" w:rsidRPr="00871B13" w:rsidP="006F20E0" w14:paraId="5A4C6E89" w14:textId="77777777">
      <w:pPr>
        <w:numPr>
          <w:ilvl w:val="0"/>
          <w:numId w:val="18"/>
        </w:numPr>
        <w:spacing w:line="240" w:lineRule="atLeast"/>
        <w:ind w:right="-1"/>
        <w:contextualSpacing/>
        <w:jc w:val="both"/>
        <w:rPr>
          <w:sz w:val="20"/>
          <w:szCs w:val="20"/>
        </w:rPr>
      </w:pPr>
      <w:r w:rsidRPr="00871B13">
        <w:rPr>
          <w:sz w:val="20"/>
          <w:szCs w:val="20"/>
        </w:rPr>
        <w:t xml:space="preserve">Pašvaldība ir kapitāldaļu turētāja šādās </w:t>
      </w:r>
      <w:r w:rsidRPr="00871B13">
        <w:rPr>
          <w:sz w:val="20"/>
          <w:szCs w:val="20"/>
        </w:rPr>
        <w:t>kapitālsabiedrībās:</w:t>
      </w:r>
    </w:p>
    <w:p w:rsidR="00636B5C" w:rsidRPr="00871B13" w:rsidP="006F20E0" w14:paraId="51CE573A" w14:textId="77777777">
      <w:pPr>
        <w:numPr>
          <w:ilvl w:val="1"/>
          <w:numId w:val="18"/>
        </w:numPr>
        <w:spacing w:line="240" w:lineRule="atLeast"/>
        <w:contextualSpacing/>
        <w:jc w:val="both"/>
        <w:rPr>
          <w:sz w:val="20"/>
          <w:szCs w:val="20"/>
        </w:rPr>
      </w:pPr>
      <w:r w:rsidRPr="00871B13">
        <w:rPr>
          <w:sz w:val="20"/>
          <w:szCs w:val="20"/>
        </w:rPr>
        <w:t>sabiedrība ar ierobežotu atbildību "Rēzeknes novada komunālserviss";</w:t>
      </w:r>
    </w:p>
    <w:p w:rsidR="00636B5C" w:rsidRPr="00871B13" w:rsidP="006F20E0" w14:paraId="4154753B" w14:textId="77777777">
      <w:pPr>
        <w:numPr>
          <w:ilvl w:val="1"/>
          <w:numId w:val="18"/>
        </w:numPr>
        <w:spacing w:line="240" w:lineRule="atLeast"/>
        <w:contextualSpacing/>
        <w:jc w:val="both"/>
        <w:rPr>
          <w:sz w:val="20"/>
          <w:szCs w:val="20"/>
        </w:rPr>
      </w:pPr>
      <w:r w:rsidRPr="00871B13">
        <w:rPr>
          <w:sz w:val="20"/>
          <w:szCs w:val="20"/>
        </w:rPr>
        <w:t xml:space="preserve">sabiedrība ar ierobežotu atbildību „Austrumlatgales Atkritumu apsaimniekošanas sabiedrība”. </w:t>
      </w:r>
    </w:p>
    <w:p w:rsidR="00636B5C" w:rsidRPr="00871B13" w:rsidP="006F20E0" w14:paraId="6022314C" w14:textId="77777777">
      <w:pPr>
        <w:numPr>
          <w:ilvl w:val="0"/>
          <w:numId w:val="18"/>
        </w:numPr>
        <w:spacing w:line="240" w:lineRule="atLeast"/>
        <w:contextualSpacing/>
        <w:jc w:val="both"/>
        <w:rPr>
          <w:sz w:val="20"/>
          <w:szCs w:val="20"/>
        </w:rPr>
      </w:pPr>
      <w:r w:rsidRPr="00871B13">
        <w:rPr>
          <w:sz w:val="20"/>
          <w:szCs w:val="20"/>
        </w:rPr>
        <w:t xml:space="preserve">Pašvaldība savu funkciju izpildei ir pārstāvēta šādās institūcijās: </w:t>
      </w:r>
    </w:p>
    <w:p w:rsidR="00636B5C" w:rsidRPr="00871B13" w:rsidP="006F20E0" w14:paraId="1ACA1AC9" w14:textId="77777777">
      <w:pPr>
        <w:pStyle w:val="tv213"/>
        <w:numPr>
          <w:ilvl w:val="1"/>
          <w:numId w:val="18"/>
        </w:numPr>
        <w:spacing w:before="0" w:beforeAutospacing="0" w:after="0" w:afterAutospacing="0" w:line="240" w:lineRule="atLeast"/>
        <w:contextualSpacing/>
        <w:rPr>
          <w:sz w:val="20"/>
          <w:szCs w:val="20"/>
        </w:rPr>
      </w:pPr>
      <w:r w:rsidRPr="00871B13">
        <w:rPr>
          <w:sz w:val="20"/>
          <w:szCs w:val="20"/>
        </w:rPr>
        <w:t>biedrībā "Latvijas Pašvaldību savienība":</w:t>
      </w:r>
    </w:p>
    <w:p w:rsidR="00636B5C" w:rsidRPr="00871B13" w:rsidP="006F20E0" w14:paraId="56725341" w14:textId="77777777">
      <w:pPr>
        <w:pStyle w:val="tv213"/>
        <w:numPr>
          <w:ilvl w:val="2"/>
          <w:numId w:val="18"/>
        </w:numPr>
        <w:spacing w:before="0" w:beforeAutospacing="0" w:after="0" w:afterAutospacing="0" w:line="240" w:lineRule="atLeast"/>
        <w:contextualSpacing/>
        <w:rPr>
          <w:sz w:val="20"/>
          <w:szCs w:val="20"/>
        </w:rPr>
      </w:pPr>
      <w:r w:rsidRPr="00871B13">
        <w:rPr>
          <w:sz w:val="20"/>
          <w:szCs w:val="20"/>
        </w:rPr>
        <w:t>Latvijas Pašvaldību izpilddirektoru asociācijā;</w:t>
      </w:r>
    </w:p>
    <w:p w:rsidR="00636B5C" w:rsidRPr="00871B13" w:rsidP="006F20E0" w14:paraId="7AF0D454" w14:textId="77777777">
      <w:pPr>
        <w:pStyle w:val="tv213"/>
        <w:numPr>
          <w:ilvl w:val="1"/>
          <w:numId w:val="18"/>
        </w:numPr>
        <w:spacing w:before="0" w:beforeAutospacing="0" w:after="0" w:afterAutospacing="0" w:line="240" w:lineRule="atLeast"/>
        <w:contextualSpacing/>
        <w:rPr>
          <w:sz w:val="20"/>
          <w:szCs w:val="20"/>
        </w:rPr>
      </w:pPr>
      <w:r w:rsidRPr="00871B13">
        <w:rPr>
          <w:sz w:val="20"/>
          <w:szCs w:val="20"/>
        </w:rPr>
        <w:t>biedrībā "Rēzeknes novada partnerība";</w:t>
      </w:r>
    </w:p>
    <w:p w:rsidR="00636B5C" w:rsidRPr="00871B13" w:rsidP="006F20E0" w14:paraId="040E940E" w14:textId="77777777">
      <w:pPr>
        <w:pStyle w:val="tv213"/>
        <w:numPr>
          <w:ilvl w:val="1"/>
          <w:numId w:val="18"/>
        </w:numPr>
        <w:spacing w:before="0" w:beforeAutospacing="0" w:after="0" w:afterAutospacing="0" w:line="240" w:lineRule="atLeast"/>
        <w:contextualSpacing/>
        <w:rPr>
          <w:sz w:val="20"/>
          <w:szCs w:val="20"/>
        </w:rPr>
      </w:pPr>
      <w:r w:rsidRPr="00871B13">
        <w:rPr>
          <w:sz w:val="20"/>
          <w:szCs w:val="20"/>
        </w:rPr>
        <w:t>biedrībā "Reģionālo attīstības centru un novadu apvienība".</w:t>
      </w:r>
    </w:p>
    <w:p w:rsidR="00871B13" w:rsidRPr="00871B13" w:rsidP="006F20E0" w14:paraId="5D46D31A" w14:textId="39FC5A8B">
      <w:pPr>
        <w:numPr>
          <w:ilvl w:val="0"/>
          <w:numId w:val="18"/>
        </w:numPr>
        <w:spacing w:line="240" w:lineRule="atLeast"/>
        <w:ind w:right="-1"/>
        <w:contextualSpacing/>
        <w:jc w:val="both"/>
        <w:rPr>
          <w:sz w:val="20"/>
          <w:szCs w:val="20"/>
        </w:rPr>
      </w:pPr>
      <w:r w:rsidRPr="00871B13">
        <w:rPr>
          <w:sz w:val="20"/>
          <w:szCs w:val="20"/>
        </w:rPr>
        <w:t>Centrālā pārvalde ir pašvaldības iestāde, kas nodrošina Domes un komiteju organizatorisko un tehnisko apkalpošanu, pilda citas šajā nolikumā noteiktās funkcijas, un tā sastāv no sekojošām struktūrvienībām:</w:t>
      </w:r>
    </w:p>
    <w:p w:rsidR="00636B5C" w:rsidRPr="00871B13" w:rsidP="006F20E0" w14:paraId="7E58CED0" w14:textId="77777777">
      <w:pPr>
        <w:numPr>
          <w:ilvl w:val="1"/>
          <w:numId w:val="18"/>
        </w:numPr>
        <w:spacing w:line="240" w:lineRule="atLeast"/>
        <w:ind w:left="993" w:right="-1" w:hanging="567"/>
        <w:contextualSpacing/>
        <w:jc w:val="both"/>
        <w:rPr>
          <w:sz w:val="20"/>
          <w:szCs w:val="20"/>
        </w:rPr>
      </w:pPr>
      <w:r w:rsidRPr="00871B13">
        <w:rPr>
          <w:sz w:val="20"/>
          <w:szCs w:val="20"/>
        </w:rPr>
        <w:t xml:space="preserve">Juridiskās un lietvedības nodaļas; </w:t>
      </w:r>
    </w:p>
    <w:p w:rsidR="00636B5C" w:rsidRPr="00871B13" w:rsidP="006F20E0" w14:paraId="3002F2EE" w14:textId="77777777">
      <w:pPr>
        <w:numPr>
          <w:ilvl w:val="1"/>
          <w:numId w:val="18"/>
        </w:numPr>
        <w:spacing w:line="240" w:lineRule="atLeast"/>
        <w:ind w:left="993" w:right="-1" w:hanging="567"/>
        <w:contextualSpacing/>
        <w:jc w:val="both"/>
        <w:rPr>
          <w:sz w:val="20"/>
          <w:szCs w:val="20"/>
        </w:rPr>
      </w:pPr>
      <w:r w:rsidRPr="00871B13">
        <w:rPr>
          <w:sz w:val="20"/>
          <w:szCs w:val="20"/>
        </w:rPr>
        <w:t>Finanšu un grāmatvedības nodaļas;</w:t>
      </w:r>
    </w:p>
    <w:p w:rsidR="00636B5C" w:rsidRPr="00871B13" w:rsidP="006F20E0" w14:paraId="7C2E678E" w14:textId="77777777">
      <w:pPr>
        <w:numPr>
          <w:ilvl w:val="1"/>
          <w:numId w:val="18"/>
        </w:numPr>
        <w:spacing w:line="240" w:lineRule="atLeast"/>
        <w:ind w:left="993" w:right="-1" w:hanging="567"/>
        <w:contextualSpacing/>
        <w:jc w:val="both"/>
        <w:rPr>
          <w:sz w:val="20"/>
          <w:szCs w:val="20"/>
        </w:rPr>
      </w:pPr>
      <w:r w:rsidRPr="00871B13">
        <w:rPr>
          <w:sz w:val="20"/>
          <w:szCs w:val="20"/>
        </w:rPr>
        <w:t xml:space="preserve">Attīstības plānošanas nodaļas; </w:t>
      </w:r>
    </w:p>
    <w:p w:rsidR="00636B5C" w:rsidRPr="00871B13" w:rsidP="006F20E0" w14:paraId="1B479D49" w14:textId="77777777">
      <w:pPr>
        <w:numPr>
          <w:ilvl w:val="1"/>
          <w:numId w:val="18"/>
        </w:numPr>
        <w:spacing w:line="240" w:lineRule="atLeast"/>
        <w:ind w:left="993" w:right="-1" w:hanging="567"/>
        <w:contextualSpacing/>
        <w:jc w:val="both"/>
        <w:rPr>
          <w:sz w:val="20"/>
          <w:szCs w:val="20"/>
        </w:rPr>
      </w:pPr>
      <w:r w:rsidRPr="00871B13">
        <w:rPr>
          <w:sz w:val="20"/>
          <w:szCs w:val="20"/>
        </w:rPr>
        <w:t>Informācijas tehnoloģiju nodaļas;</w:t>
      </w:r>
    </w:p>
    <w:p w:rsidR="00636B5C" w:rsidRPr="00871B13" w:rsidP="006F20E0" w14:paraId="2569C62C" w14:textId="77777777">
      <w:pPr>
        <w:numPr>
          <w:ilvl w:val="1"/>
          <w:numId w:val="18"/>
        </w:numPr>
        <w:spacing w:line="240" w:lineRule="atLeast"/>
        <w:ind w:left="993" w:right="-1" w:hanging="567"/>
        <w:contextualSpacing/>
        <w:jc w:val="both"/>
        <w:rPr>
          <w:sz w:val="20"/>
          <w:szCs w:val="20"/>
        </w:rPr>
      </w:pPr>
      <w:r w:rsidRPr="00871B13">
        <w:rPr>
          <w:sz w:val="20"/>
          <w:szCs w:val="20"/>
        </w:rPr>
        <w:t>Izglītības un sporta pārvaldes;</w:t>
      </w:r>
    </w:p>
    <w:p w:rsidR="00636B5C" w:rsidRPr="00871B13" w:rsidP="006F20E0" w14:paraId="65E458DA" w14:textId="77777777">
      <w:pPr>
        <w:numPr>
          <w:ilvl w:val="1"/>
          <w:numId w:val="18"/>
        </w:numPr>
        <w:spacing w:line="240" w:lineRule="atLeast"/>
        <w:ind w:left="993" w:right="-1" w:hanging="567"/>
        <w:contextualSpacing/>
        <w:jc w:val="both"/>
        <w:rPr>
          <w:sz w:val="20"/>
          <w:szCs w:val="20"/>
        </w:rPr>
      </w:pPr>
      <w:r w:rsidRPr="00871B13">
        <w:rPr>
          <w:bCs/>
          <w:sz w:val="20"/>
          <w:szCs w:val="20"/>
        </w:rPr>
        <w:t>Saimnieciskā nodrošinājuma nodaļas</w:t>
      </w:r>
      <w:r w:rsidRPr="00871B13">
        <w:rPr>
          <w:sz w:val="20"/>
          <w:szCs w:val="20"/>
        </w:rPr>
        <w:t>;</w:t>
      </w:r>
    </w:p>
    <w:p w:rsidR="00636B5C" w:rsidRPr="00871B13" w:rsidP="006F20E0" w14:paraId="04319F5B" w14:textId="77777777">
      <w:pPr>
        <w:numPr>
          <w:ilvl w:val="1"/>
          <w:numId w:val="18"/>
        </w:numPr>
        <w:spacing w:line="240" w:lineRule="atLeast"/>
        <w:ind w:left="993" w:right="-1" w:hanging="567"/>
        <w:contextualSpacing/>
        <w:jc w:val="both"/>
        <w:rPr>
          <w:sz w:val="20"/>
          <w:szCs w:val="20"/>
        </w:rPr>
      </w:pPr>
      <w:r w:rsidRPr="00871B13">
        <w:rPr>
          <w:sz w:val="20"/>
          <w:szCs w:val="20"/>
        </w:rPr>
        <w:t xml:space="preserve">Būvvaldes; </w:t>
      </w:r>
    </w:p>
    <w:p w:rsidR="00636B5C" w:rsidRPr="00871B13" w:rsidP="006F20E0" w14:paraId="7EBB18B5" w14:textId="77777777">
      <w:pPr>
        <w:numPr>
          <w:ilvl w:val="1"/>
          <w:numId w:val="18"/>
        </w:numPr>
        <w:spacing w:line="240" w:lineRule="atLeast"/>
        <w:ind w:left="993" w:right="-1" w:hanging="567"/>
        <w:contextualSpacing/>
        <w:jc w:val="both"/>
        <w:rPr>
          <w:sz w:val="20"/>
          <w:szCs w:val="20"/>
        </w:rPr>
      </w:pPr>
      <w:r w:rsidRPr="00871B13">
        <w:rPr>
          <w:sz w:val="20"/>
          <w:szCs w:val="20"/>
        </w:rPr>
        <w:t>Dzimtsarakstu nodaļas;</w:t>
      </w:r>
    </w:p>
    <w:p w:rsidR="00636B5C" w:rsidRPr="00871B13" w:rsidP="006F20E0" w14:paraId="6AAFCFDD" w14:textId="77777777">
      <w:pPr>
        <w:numPr>
          <w:ilvl w:val="1"/>
          <w:numId w:val="18"/>
        </w:numPr>
        <w:spacing w:line="240" w:lineRule="atLeast"/>
        <w:ind w:left="993" w:right="-1" w:hanging="567"/>
        <w:contextualSpacing/>
        <w:jc w:val="both"/>
        <w:rPr>
          <w:sz w:val="20"/>
          <w:szCs w:val="20"/>
        </w:rPr>
      </w:pPr>
      <w:r w:rsidRPr="00871B13">
        <w:rPr>
          <w:sz w:val="20"/>
          <w:szCs w:val="20"/>
        </w:rPr>
        <w:t>Nekustamā īpašuma pārvaldības dienesta;</w:t>
      </w:r>
    </w:p>
    <w:p w:rsidR="00636B5C" w:rsidRPr="00871B13" w:rsidP="006F20E0" w14:paraId="75C631B7" w14:textId="77777777">
      <w:pPr>
        <w:numPr>
          <w:ilvl w:val="1"/>
          <w:numId w:val="18"/>
        </w:numPr>
        <w:spacing w:line="240" w:lineRule="atLeast"/>
        <w:ind w:left="1134" w:right="-1" w:hanging="708"/>
        <w:contextualSpacing/>
        <w:jc w:val="both"/>
        <w:rPr>
          <w:sz w:val="20"/>
          <w:szCs w:val="20"/>
        </w:rPr>
      </w:pPr>
      <w:r w:rsidRPr="00871B13">
        <w:rPr>
          <w:sz w:val="20"/>
          <w:szCs w:val="20"/>
        </w:rPr>
        <w:t>Iekšējā audita nodaļas;</w:t>
      </w:r>
    </w:p>
    <w:p w:rsidR="00636B5C" w:rsidRPr="00871B13" w:rsidP="006F20E0" w14:paraId="4F6E30EA" w14:textId="77777777">
      <w:pPr>
        <w:numPr>
          <w:ilvl w:val="1"/>
          <w:numId w:val="18"/>
        </w:numPr>
        <w:spacing w:line="240" w:lineRule="atLeast"/>
        <w:ind w:left="1134" w:right="-1" w:hanging="708"/>
        <w:contextualSpacing/>
        <w:jc w:val="both"/>
        <w:rPr>
          <w:sz w:val="20"/>
          <w:szCs w:val="20"/>
        </w:rPr>
      </w:pPr>
      <w:r w:rsidRPr="00871B13">
        <w:rPr>
          <w:sz w:val="20"/>
          <w:szCs w:val="20"/>
        </w:rPr>
        <w:t>Publisko iepirkumu nodaļas.</w:t>
      </w:r>
    </w:p>
    <w:p w:rsidR="00636B5C" w:rsidRPr="007B2BD5" w:rsidP="006F20E0" w14:paraId="51576F87" w14:textId="77777777">
      <w:pPr>
        <w:numPr>
          <w:ilvl w:val="0"/>
          <w:numId w:val="18"/>
        </w:numPr>
        <w:spacing w:line="240" w:lineRule="atLeast"/>
        <w:ind w:right="-1"/>
        <w:contextualSpacing/>
        <w:jc w:val="both"/>
        <w:rPr>
          <w:sz w:val="20"/>
          <w:szCs w:val="20"/>
        </w:rPr>
      </w:pPr>
      <w:r w:rsidRPr="007B2BD5">
        <w:rPr>
          <w:sz w:val="20"/>
          <w:szCs w:val="20"/>
        </w:rPr>
        <w:t>Atsevišķu pašvaldības funkciju pildīšanai dome no deputātiem un attiecīgās pašvaldības iedzīvotājiem ir izveidojusi:</w:t>
      </w:r>
    </w:p>
    <w:p w:rsidR="00636B5C" w:rsidRPr="007B2BD5" w:rsidP="006F20E0" w14:paraId="225E64D0" w14:textId="77777777">
      <w:pPr>
        <w:numPr>
          <w:ilvl w:val="1"/>
          <w:numId w:val="18"/>
        </w:numPr>
        <w:spacing w:line="240" w:lineRule="atLeast"/>
        <w:ind w:left="993" w:right="-1" w:hanging="633"/>
        <w:contextualSpacing/>
        <w:jc w:val="both"/>
        <w:rPr>
          <w:sz w:val="20"/>
          <w:szCs w:val="20"/>
        </w:rPr>
      </w:pPr>
      <w:r w:rsidRPr="007B2BD5">
        <w:rPr>
          <w:sz w:val="20"/>
          <w:szCs w:val="20"/>
        </w:rPr>
        <w:t>komisijas:</w:t>
      </w:r>
    </w:p>
    <w:p w:rsidR="00636B5C" w:rsidRPr="007B2BD5" w:rsidP="006F20E0" w14:paraId="1A4E4014" w14:textId="60459393">
      <w:pPr>
        <w:numPr>
          <w:ilvl w:val="2"/>
          <w:numId w:val="18"/>
        </w:numPr>
        <w:spacing w:line="240" w:lineRule="atLeast"/>
        <w:ind w:left="1701" w:right="-1" w:hanging="708"/>
        <w:contextualSpacing/>
        <w:jc w:val="both"/>
        <w:rPr>
          <w:sz w:val="20"/>
          <w:szCs w:val="20"/>
        </w:rPr>
      </w:pPr>
      <w:r w:rsidRPr="007B2BD5">
        <w:rPr>
          <w:sz w:val="20"/>
          <w:szCs w:val="20"/>
        </w:rPr>
        <w:t xml:space="preserve">Administratīvo komisiju </w:t>
      </w:r>
      <w:r w:rsidRPr="007B2BD5" w:rsidR="007B2BD5">
        <w:rPr>
          <w:sz w:val="20"/>
          <w:szCs w:val="20"/>
        </w:rPr>
        <w:t>7</w:t>
      </w:r>
      <w:r w:rsidRPr="007B2BD5">
        <w:rPr>
          <w:sz w:val="20"/>
          <w:szCs w:val="20"/>
        </w:rPr>
        <w:t xml:space="preserve"> (</w:t>
      </w:r>
      <w:r w:rsidRPr="007B2BD5" w:rsidR="007B2BD5">
        <w:rPr>
          <w:sz w:val="20"/>
          <w:szCs w:val="20"/>
        </w:rPr>
        <w:t>septiņu</w:t>
      </w:r>
      <w:r w:rsidRPr="007B2BD5">
        <w:rPr>
          <w:sz w:val="20"/>
          <w:szCs w:val="20"/>
        </w:rPr>
        <w:t>) locekļu sastāvā;</w:t>
      </w:r>
    </w:p>
    <w:p w:rsidR="00636B5C" w:rsidRPr="007B2BD5" w:rsidP="006F20E0" w14:paraId="46FD01CD" w14:textId="77777777">
      <w:pPr>
        <w:numPr>
          <w:ilvl w:val="2"/>
          <w:numId w:val="18"/>
        </w:numPr>
        <w:spacing w:line="240" w:lineRule="atLeast"/>
        <w:ind w:left="1701" w:right="-1" w:hanging="708"/>
        <w:contextualSpacing/>
        <w:jc w:val="both"/>
        <w:rPr>
          <w:sz w:val="20"/>
          <w:szCs w:val="20"/>
        </w:rPr>
      </w:pPr>
      <w:r w:rsidRPr="007B2BD5">
        <w:rPr>
          <w:sz w:val="20"/>
          <w:szCs w:val="20"/>
        </w:rPr>
        <w:t xml:space="preserve">Administratīvo aktu apstrīdēšanas komisiju 8 (astoņu) locekļu </w:t>
      </w:r>
      <w:r w:rsidRPr="007B2BD5">
        <w:rPr>
          <w:sz w:val="20"/>
          <w:szCs w:val="20"/>
        </w:rPr>
        <w:t>sastāvā;</w:t>
      </w:r>
    </w:p>
    <w:p w:rsidR="00636B5C" w:rsidRPr="007B2BD5" w:rsidP="006F20E0" w14:paraId="733AFAB3" w14:textId="77777777">
      <w:pPr>
        <w:numPr>
          <w:ilvl w:val="2"/>
          <w:numId w:val="18"/>
        </w:numPr>
        <w:spacing w:line="240" w:lineRule="atLeast"/>
        <w:ind w:left="1701" w:right="-1" w:hanging="708"/>
        <w:contextualSpacing/>
        <w:jc w:val="both"/>
        <w:rPr>
          <w:sz w:val="20"/>
          <w:szCs w:val="20"/>
        </w:rPr>
      </w:pPr>
      <w:r w:rsidRPr="007B2BD5">
        <w:rPr>
          <w:sz w:val="20"/>
          <w:szCs w:val="20"/>
        </w:rPr>
        <w:t>Politiski represēto personu un nacionālās pretošanās kustības dalībnieku iesniegumu izskatīšanas komisiju 5 (piecu) locekļu sastāvā;</w:t>
      </w:r>
    </w:p>
    <w:p w:rsidR="00636B5C" w:rsidRPr="007B2BD5" w:rsidP="006F20E0" w14:paraId="38B08E14" w14:textId="77777777">
      <w:pPr>
        <w:numPr>
          <w:ilvl w:val="2"/>
          <w:numId w:val="18"/>
        </w:numPr>
        <w:spacing w:line="240" w:lineRule="atLeast"/>
        <w:ind w:left="1701" w:right="-1" w:hanging="708"/>
        <w:contextualSpacing/>
        <w:jc w:val="both"/>
        <w:rPr>
          <w:sz w:val="20"/>
          <w:szCs w:val="20"/>
        </w:rPr>
      </w:pPr>
      <w:r w:rsidRPr="007B2BD5">
        <w:rPr>
          <w:sz w:val="20"/>
          <w:szCs w:val="20"/>
        </w:rPr>
        <w:t>Pedagoģiski medicīnisko komisiju 5 (piecu) locekļu sastāvā,</w:t>
      </w:r>
    </w:p>
    <w:p w:rsidR="00636B5C" w:rsidRPr="007B2BD5" w:rsidP="006F20E0" w14:paraId="158FC6BA" w14:textId="77777777">
      <w:pPr>
        <w:numPr>
          <w:ilvl w:val="2"/>
          <w:numId w:val="18"/>
        </w:numPr>
        <w:spacing w:line="240" w:lineRule="atLeast"/>
        <w:ind w:left="1701" w:right="-1" w:hanging="708"/>
        <w:contextualSpacing/>
        <w:jc w:val="both"/>
        <w:rPr>
          <w:sz w:val="20"/>
          <w:szCs w:val="20"/>
        </w:rPr>
      </w:pPr>
      <w:r w:rsidRPr="007B2BD5">
        <w:rPr>
          <w:sz w:val="20"/>
          <w:szCs w:val="20"/>
        </w:rPr>
        <w:t>Komunālo jautājumu komisiju 8 (astoņu) locekļu sastāvā;</w:t>
      </w:r>
    </w:p>
    <w:p w:rsidR="00636B5C" w:rsidRPr="00AE0F14" w:rsidP="006F20E0" w14:paraId="47C792E1" w14:textId="77777777">
      <w:pPr>
        <w:numPr>
          <w:ilvl w:val="2"/>
          <w:numId w:val="18"/>
        </w:numPr>
        <w:spacing w:line="240" w:lineRule="atLeast"/>
        <w:ind w:left="1701" w:right="-1" w:hanging="708"/>
        <w:contextualSpacing/>
        <w:jc w:val="both"/>
        <w:rPr>
          <w:sz w:val="20"/>
          <w:szCs w:val="20"/>
        </w:rPr>
      </w:pPr>
      <w:r w:rsidRPr="00AE0F14">
        <w:rPr>
          <w:sz w:val="20"/>
          <w:szCs w:val="20"/>
        </w:rPr>
        <w:t>Medību koordinācijas komisiju 7 (septiņu) locekļu sastāvā;</w:t>
      </w:r>
    </w:p>
    <w:p w:rsidR="00636B5C" w:rsidRPr="00AE0F14" w:rsidP="006F20E0" w14:paraId="4E5A9C40" w14:textId="77777777">
      <w:pPr>
        <w:numPr>
          <w:ilvl w:val="2"/>
          <w:numId w:val="18"/>
        </w:numPr>
        <w:spacing w:line="240" w:lineRule="atLeast"/>
        <w:ind w:left="1701" w:right="-1" w:hanging="708"/>
        <w:contextualSpacing/>
        <w:jc w:val="both"/>
        <w:rPr>
          <w:sz w:val="20"/>
          <w:szCs w:val="20"/>
        </w:rPr>
      </w:pPr>
      <w:r w:rsidRPr="00AE0F14">
        <w:rPr>
          <w:sz w:val="20"/>
          <w:szCs w:val="20"/>
        </w:rPr>
        <w:t>Pašvaldības komisiju lēmumu pieņemšanā par lauksaimniecības zemes iegūšanu īpašumā 5 (piecu) locekļu sastāvā;</w:t>
      </w:r>
    </w:p>
    <w:p w:rsidR="00636B5C" w:rsidRPr="00AE0F14" w:rsidP="006F20E0" w14:paraId="05292D47" w14:textId="77777777">
      <w:pPr>
        <w:numPr>
          <w:ilvl w:val="2"/>
          <w:numId w:val="18"/>
        </w:numPr>
        <w:spacing w:line="240" w:lineRule="atLeast"/>
        <w:ind w:left="1701" w:right="-1" w:hanging="708"/>
        <w:contextualSpacing/>
        <w:jc w:val="both"/>
        <w:rPr>
          <w:sz w:val="20"/>
          <w:szCs w:val="20"/>
        </w:rPr>
      </w:pPr>
      <w:r w:rsidRPr="00AE0F14">
        <w:rPr>
          <w:sz w:val="20"/>
          <w:szCs w:val="20"/>
        </w:rPr>
        <w:t>Publisku izklaides un svētku pasākumu iesniegumu izskatīšanas komisiju 5 (piecu) locekļu sastāvā;</w:t>
      </w:r>
      <w:r w:rsidRPr="00AE0F14">
        <w:rPr>
          <w:i/>
          <w:sz w:val="20"/>
          <w:szCs w:val="20"/>
        </w:rPr>
        <w:t xml:space="preserve"> </w:t>
      </w:r>
    </w:p>
    <w:p w:rsidR="00636B5C" w:rsidRPr="00AE0F14" w:rsidP="006F20E0" w14:paraId="17BAB119" w14:textId="77777777">
      <w:pPr>
        <w:numPr>
          <w:ilvl w:val="2"/>
          <w:numId w:val="18"/>
        </w:numPr>
        <w:spacing w:line="240" w:lineRule="atLeast"/>
        <w:ind w:left="1843" w:right="-1" w:hanging="850"/>
        <w:contextualSpacing/>
        <w:jc w:val="both"/>
        <w:rPr>
          <w:sz w:val="20"/>
          <w:szCs w:val="20"/>
        </w:rPr>
      </w:pPr>
      <w:r w:rsidRPr="00AE0F14">
        <w:rPr>
          <w:sz w:val="20"/>
          <w:szCs w:val="20"/>
        </w:rPr>
        <w:t>Elektroniskās izsoles komisiju īpašumā 5 (piecu) locekļu sastāvā;</w:t>
      </w:r>
    </w:p>
    <w:p w:rsidR="00636B5C" w:rsidRPr="00AE0F14" w:rsidP="006F20E0" w14:paraId="7028B750" w14:textId="77777777">
      <w:pPr>
        <w:numPr>
          <w:ilvl w:val="2"/>
          <w:numId w:val="18"/>
        </w:numPr>
        <w:spacing w:line="240" w:lineRule="atLeast"/>
        <w:ind w:left="1843" w:right="-1" w:hanging="850"/>
        <w:contextualSpacing/>
        <w:jc w:val="both"/>
        <w:rPr>
          <w:sz w:val="20"/>
          <w:szCs w:val="20"/>
        </w:rPr>
      </w:pPr>
      <w:r w:rsidRPr="00AE0F14">
        <w:rPr>
          <w:sz w:val="20"/>
          <w:szCs w:val="20"/>
        </w:rPr>
        <w:t xml:space="preserve">5 (piecas) pastāvīgās kustamas mantas un nekustamā īpašuma atsavināšanas, arī atsavināšanas izsoles kārtībā, telpu un zemes nomas tiesību izsoles komisijas, kuru katras </w:t>
      </w:r>
      <w:r w:rsidRPr="00AE0F14">
        <w:rPr>
          <w:sz w:val="20"/>
          <w:szCs w:val="20"/>
        </w:rPr>
        <w:t>sastāvā ne mazāk kā 4 (četri) locekļi;</w:t>
      </w:r>
    </w:p>
    <w:p w:rsidR="00636B5C" w:rsidRPr="00AE0F14" w:rsidP="006F20E0" w14:paraId="650D70D8" w14:textId="77777777">
      <w:pPr>
        <w:numPr>
          <w:ilvl w:val="2"/>
          <w:numId w:val="18"/>
        </w:numPr>
        <w:spacing w:line="240" w:lineRule="atLeast"/>
        <w:ind w:left="1843" w:right="-1" w:hanging="850"/>
        <w:contextualSpacing/>
        <w:jc w:val="both"/>
        <w:rPr>
          <w:sz w:val="20"/>
          <w:szCs w:val="20"/>
        </w:rPr>
      </w:pPr>
      <w:r w:rsidRPr="00AE0F14">
        <w:rPr>
          <w:bCs/>
          <w:sz w:val="20"/>
          <w:szCs w:val="20"/>
        </w:rPr>
        <w:t xml:space="preserve">Pašvaldības līdzfinansējuma piešķiršanai daudzdzīvokļu dzīvojamo māju energoefektivitātes pasākumu veikšanai un šo māju īpašumā vai nomā esošo zemesgabalu labiekārtošanai izveidošanas komisiju </w:t>
      </w:r>
      <w:r w:rsidRPr="00AE0F14">
        <w:rPr>
          <w:sz w:val="20"/>
          <w:szCs w:val="20"/>
        </w:rPr>
        <w:t>8 (astoņu) locekļu sastāvā;</w:t>
      </w:r>
    </w:p>
    <w:p w:rsidR="00636B5C" w:rsidRPr="00AE0F14" w:rsidP="006F20E0" w14:paraId="4FAF072D" w14:textId="77777777">
      <w:pPr>
        <w:numPr>
          <w:ilvl w:val="2"/>
          <w:numId w:val="18"/>
        </w:numPr>
        <w:spacing w:line="240" w:lineRule="atLeast"/>
        <w:ind w:left="1843" w:right="-1" w:hanging="850"/>
        <w:contextualSpacing/>
        <w:jc w:val="both"/>
        <w:rPr>
          <w:sz w:val="20"/>
          <w:szCs w:val="20"/>
        </w:rPr>
      </w:pPr>
      <w:r w:rsidRPr="00AE0F14">
        <w:rPr>
          <w:sz w:val="20"/>
          <w:szCs w:val="20"/>
        </w:rPr>
        <w:t>Konkursa “Atbalsta uzņēmumu radīšanai un attīstībai Rēzeknes novadā”</w:t>
      </w:r>
      <w:r w:rsidRPr="00AE0F14">
        <w:rPr>
          <w:bCs/>
          <w:sz w:val="20"/>
          <w:szCs w:val="20"/>
        </w:rPr>
        <w:t xml:space="preserve"> vērtēšanas komisiju ne mazāk kā </w:t>
      </w:r>
      <w:r w:rsidRPr="00AE0F14">
        <w:rPr>
          <w:sz w:val="20"/>
          <w:szCs w:val="20"/>
        </w:rPr>
        <w:t>5 (piecu) locekļu sastāvā;</w:t>
      </w:r>
    </w:p>
    <w:p w:rsidR="00636B5C" w:rsidRPr="00AE0F14" w:rsidP="006F20E0" w14:paraId="08B33B18" w14:textId="77777777">
      <w:pPr>
        <w:numPr>
          <w:ilvl w:val="2"/>
          <w:numId w:val="18"/>
        </w:numPr>
        <w:spacing w:line="240" w:lineRule="atLeast"/>
        <w:ind w:left="1843" w:right="-1" w:hanging="850"/>
        <w:contextualSpacing/>
        <w:jc w:val="both"/>
        <w:rPr>
          <w:sz w:val="20"/>
          <w:szCs w:val="20"/>
        </w:rPr>
      </w:pPr>
      <w:r w:rsidRPr="00AE0F14">
        <w:rPr>
          <w:sz w:val="20"/>
          <w:szCs w:val="20"/>
        </w:rPr>
        <w:t>Konkursa “Rēzeknes novada uzņēmums”</w:t>
      </w:r>
      <w:r w:rsidRPr="00AE0F14">
        <w:rPr>
          <w:bCs/>
          <w:sz w:val="20"/>
          <w:szCs w:val="20"/>
        </w:rPr>
        <w:t xml:space="preserve"> vērtēšanas komisiju ne mazāk kā </w:t>
      </w:r>
      <w:r w:rsidRPr="00AE0F14">
        <w:rPr>
          <w:sz w:val="20"/>
          <w:szCs w:val="20"/>
        </w:rPr>
        <w:t>6 (sešu) locekļu sastāvā;</w:t>
      </w:r>
    </w:p>
    <w:p w:rsidR="00636B5C" w:rsidRPr="00AE0F14" w:rsidP="006F20E0" w14:paraId="5EEEB0DA" w14:textId="77777777">
      <w:pPr>
        <w:numPr>
          <w:ilvl w:val="2"/>
          <w:numId w:val="18"/>
        </w:numPr>
        <w:spacing w:line="240" w:lineRule="atLeast"/>
        <w:ind w:left="1843" w:right="-1" w:hanging="850"/>
        <w:contextualSpacing/>
        <w:jc w:val="both"/>
        <w:rPr>
          <w:sz w:val="20"/>
          <w:szCs w:val="20"/>
        </w:rPr>
      </w:pPr>
      <w:r w:rsidRPr="00AE0F14">
        <w:rPr>
          <w:bCs/>
          <w:sz w:val="20"/>
          <w:szCs w:val="20"/>
        </w:rPr>
        <w:t>Ukrainas civiliedzīvotāju primāri sniedzamā atbalsta – izmitināšanas perioda noteikšanas komisiju 3 (triju) locekļu sastāvā;</w:t>
      </w:r>
    </w:p>
    <w:p w:rsidR="00636B5C" w:rsidRPr="00AE0F14" w:rsidP="006F20E0" w14:paraId="060390B0" w14:textId="77777777">
      <w:pPr>
        <w:numPr>
          <w:ilvl w:val="2"/>
          <w:numId w:val="18"/>
        </w:numPr>
        <w:spacing w:line="240" w:lineRule="atLeast"/>
        <w:ind w:left="1843" w:right="-1" w:hanging="850"/>
        <w:contextualSpacing/>
        <w:jc w:val="both"/>
        <w:rPr>
          <w:sz w:val="20"/>
          <w:szCs w:val="20"/>
        </w:rPr>
      </w:pPr>
      <w:r w:rsidRPr="00AE0F14">
        <w:rPr>
          <w:bCs/>
          <w:sz w:val="20"/>
          <w:szCs w:val="20"/>
        </w:rPr>
        <w:t xml:space="preserve">Radošo darbu konkursu vērtēšanas komisiju </w:t>
      </w:r>
      <w:r w:rsidRPr="00AE0F14">
        <w:rPr>
          <w:sz w:val="20"/>
          <w:szCs w:val="20"/>
        </w:rPr>
        <w:t>5 (piecu) locekļu sastāvā;</w:t>
      </w:r>
    </w:p>
    <w:p w:rsidR="00636B5C" w:rsidRPr="00AE0F14" w:rsidP="006F20E0" w14:paraId="51D25C38" w14:textId="77777777">
      <w:pPr>
        <w:numPr>
          <w:ilvl w:val="2"/>
          <w:numId w:val="18"/>
        </w:numPr>
        <w:spacing w:line="240" w:lineRule="atLeast"/>
        <w:ind w:left="1843" w:right="-1" w:hanging="850"/>
        <w:contextualSpacing/>
        <w:jc w:val="both"/>
        <w:rPr>
          <w:sz w:val="20"/>
          <w:szCs w:val="20"/>
        </w:rPr>
      </w:pPr>
      <w:r w:rsidRPr="00AE0F14">
        <w:rPr>
          <w:sz w:val="20"/>
          <w:szCs w:val="20"/>
        </w:rPr>
        <w:t>Iepirkuma komisijas atbilstoši Domes apstiprinātajiem iekšējiem normatīvajiem aktiem;</w:t>
      </w:r>
    </w:p>
    <w:p w:rsidR="00636B5C" w:rsidRPr="00AE0F14" w:rsidP="006F20E0" w14:paraId="0E28B799" w14:textId="77777777">
      <w:pPr>
        <w:numPr>
          <w:ilvl w:val="2"/>
          <w:numId w:val="18"/>
        </w:numPr>
        <w:spacing w:line="240" w:lineRule="atLeast"/>
        <w:ind w:left="1843" w:right="-1" w:hanging="850"/>
        <w:contextualSpacing/>
        <w:jc w:val="both"/>
        <w:rPr>
          <w:sz w:val="20"/>
          <w:szCs w:val="20"/>
        </w:rPr>
      </w:pPr>
      <w:r w:rsidRPr="00AE0F14">
        <w:rPr>
          <w:sz w:val="20"/>
          <w:szCs w:val="20"/>
        </w:rPr>
        <w:t>Ētikas komisijas atbilstoši Domes apstiprinātajiem iekšējiem normatīvajiem aktiem;</w:t>
      </w:r>
    </w:p>
    <w:p w:rsidR="00636B5C" w:rsidRPr="00AE0F14" w:rsidP="006F20E0" w14:paraId="4B182799" w14:textId="77777777">
      <w:pPr>
        <w:numPr>
          <w:ilvl w:val="2"/>
          <w:numId w:val="18"/>
        </w:numPr>
        <w:spacing w:line="240" w:lineRule="atLeast"/>
        <w:ind w:left="1843" w:right="-1" w:hanging="850"/>
        <w:contextualSpacing/>
        <w:jc w:val="both"/>
        <w:rPr>
          <w:sz w:val="20"/>
          <w:szCs w:val="20"/>
        </w:rPr>
      </w:pPr>
      <w:r w:rsidRPr="00AE0F14">
        <w:rPr>
          <w:sz w:val="20"/>
          <w:szCs w:val="20"/>
        </w:rPr>
        <w:t>Rēzeknes valstspilsētas un Rēzeknes novada sadarbības teritorijas civilās aizsardzības komisiju;</w:t>
      </w:r>
    </w:p>
    <w:p w:rsidR="00636B5C" w:rsidRPr="00AE0F14" w:rsidP="006F20E0" w14:paraId="78B3E934" w14:textId="77777777">
      <w:pPr>
        <w:numPr>
          <w:ilvl w:val="2"/>
          <w:numId w:val="18"/>
        </w:numPr>
        <w:spacing w:line="240" w:lineRule="atLeast"/>
        <w:ind w:left="1843" w:right="-1" w:hanging="850"/>
        <w:contextualSpacing/>
        <w:jc w:val="both"/>
        <w:rPr>
          <w:sz w:val="20"/>
          <w:szCs w:val="20"/>
        </w:rPr>
      </w:pPr>
      <w:r w:rsidRPr="00AE0F14">
        <w:rPr>
          <w:sz w:val="20"/>
          <w:szCs w:val="20"/>
        </w:rPr>
        <w:t>Rēzeknes valstspilsētas un Rēzeknes novada sadarbības teritorijas izglītības jautājumu komisiju;</w:t>
      </w:r>
    </w:p>
    <w:p w:rsidR="00636B5C" w:rsidRPr="00AE0F14" w:rsidP="006F20E0" w14:paraId="29065AD1" w14:textId="77777777">
      <w:pPr>
        <w:numPr>
          <w:ilvl w:val="2"/>
          <w:numId w:val="18"/>
        </w:numPr>
        <w:spacing w:line="240" w:lineRule="atLeast"/>
        <w:ind w:left="1843" w:right="-1" w:hanging="850"/>
        <w:contextualSpacing/>
        <w:jc w:val="both"/>
        <w:rPr>
          <w:sz w:val="20"/>
          <w:szCs w:val="20"/>
        </w:rPr>
      </w:pPr>
      <w:r w:rsidRPr="00AE0F14">
        <w:rPr>
          <w:sz w:val="20"/>
          <w:szCs w:val="20"/>
        </w:rPr>
        <w:t>Rēzeknes valstspilsētas un Rēzeknes novada sadarbības teritorijas atkritumu apsaimniekošanas jautājumu komisiju;</w:t>
      </w:r>
    </w:p>
    <w:p w:rsidR="00636B5C" w:rsidRPr="00AE0F14" w:rsidP="006F20E0" w14:paraId="73D6BF31" w14:textId="77777777">
      <w:pPr>
        <w:numPr>
          <w:ilvl w:val="1"/>
          <w:numId w:val="18"/>
        </w:numPr>
        <w:spacing w:line="240" w:lineRule="atLeast"/>
        <w:ind w:left="993" w:right="-1" w:hanging="633"/>
        <w:contextualSpacing/>
        <w:jc w:val="both"/>
        <w:rPr>
          <w:sz w:val="20"/>
          <w:szCs w:val="20"/>
        </w:rPr>
      </w:pPr>
      <w:r w:rsidRPr="00AE0F14">
        <w:rPr>
          <w:sz w:val="20"/>
          <w:szCs w:val="20"/>
        </w:rPr>
        <w:t xml:space="preserve">padomes: </w:t>
      </w:r>
    </w:p>
    <w:p w:rsidR="00636B5C" w:rsidRPr="00AE0F14" w:rsidP="006F20E0" w14:paraId="1071AEA5" w14:textId="77777777">
      <w:pPr>
        <w:numPr>
          <w:ilvl w:val="2"/>
          <w:numId w:val="18"/>
        </w:numPr>
        <w:spacing w:line="240" w:lineRule="atLeast"/>
        <w:ind w:left="1701" w:right="-1" w:hanging="708"/>
        <w:contextualSpacing/>
        <w:jc w:val="both"/>
        <w:rPr>
          <w:sz w:val="20"/>
          <w:szCs w:val="20"/>
        </w:rPr>
      </w:pPr>
      <w:r w:rsidRPr="00AE0F14">
        <w:rPr>
          <w:sz w:val="20"/>
          <w:szCs w:val="20"/>
        </w:rPr>
        <w:t>Ceļu fonda padomi 10 (desmit) cilvēku sastāvā;</w:t>
      </w:r>
    </w:p>
    <w:p w:rsidR="00636B5C" w:rsidRPr="00AE0F14" w:rsidP="006F20E0" w14:paraId="74459C85" w14:textId="77777777">
      <w:pPr>
        <w:numPr>
          <w:ilvl w:val="2"/>
          <w:numId w:val="18"/>
        </w:numPr>
        <w:spacing w:line="240" w:lineRule="atLeast"/>
        <w:ind w:left="1701" w:right="-1" w:hanging="708"/>
        <w:contextualSpacing/>
        <w:jc w:val="both"/>
        <w:rPr>
          <w:sz w:val="20"/>
          <w:szCs w:val="20"/>
        </w:rPr>
      </w:pPr>
      <w:r w:rsidRPr="00AE0F14">
        <w:rPr>
          <w:sz w:val="20"/>
          <w:szCs w:val="20"/>
        </w:rPr>
        <w:t>Vides aizsardzības fonda padomi 8 (astoņu) cilvēku sastāvā;</w:t>
      </w:r>
    </w:p>
    <w:p w:rsidR="00636B5C" w:rsidRPr="00636B5C" w:rsidP="006F20E0" w14:paraId="2D929D71" w14:textId="77777777">
      <w:pPr>
        <w:spacing w:line="240" w:lineRule="atLeast"/>
        <w:ind w:right="-1"/>
        <w:contextualSpacing/>
        <w:jc w:val="both"/>
        <w:rPr>
          <w:color w:val="FF0000"/>
          <w:sz w:val="20"/>
          <w:szCs w:val="20"/>
        </w:rPr>
      </w:pPr>
    </w:p>
    <w:p w:rsidR="00636B5C" w:rsidRPr="00AE0F14" w:rsidP="006F20E0" w14:paraId="6CAECD18" w14:textId="77777777">
      <w:pPr>
        <w:autoSpaceDE w:val="0"/>
        <w:autoSpaceDN w:val="0"/>
        <w:adjustRightInd w:val="0"/>
        <w:spacing w:line="240" w:lineRule="atLeast"/>
        <w:ind w:firstLine="720"/>
        <w:contextualSpacing/>
        <w:jc w:val="center"/>
        <w:rPr>
          <w:b/>
          <w:bCs/>
          <w:sz w:val="20"/>
          <w:szCs w:val="20"/>
        </w:rPr>
      </w:pPr>
      <w:r w:rsidRPr="00AE0F14">
        <w:rPr>
          <w:b/>
          <w:bCs/>
          <w:sz w:val="20"/>
          <w:szCs w:val="20"/>
        </w:rPr>
        <w:t>Rēzeknes novada iedzīvotāju skaits un tā izmaiņas</w:t>
      </w:r>
    </w:p>
    <w:tbl>
      <w:tblPr>
        <w:tblW w:w="9067" w:type="dxa"/>
        <w:tblInd w:w="113" w:type="dxa"/>
        <w:tblLayout w:type="fixed"/>
        <w:tblLook w:val="04A0"/>
      </w:tblPr>
      <w:tblGrid>
        <w:gridCol w:w="2440"/>
        <w:gridCol w:w="957"/>
        <w:gridCol w:w="851"/>
        <w:gridCol w:w="850"/>
        <w:gridCol w:w="993"/>
        <w:gridCol w:w="992"/>
        <w:gridCol w:w="992"/>
        <w:gridCol w:w="992"/>
      </w:tblGrid>
      <w:tr w14:paraId="656F27D1" w14:textId="77777777" w:rsidTr="00E505A2">
        <w:tblPrEx>
          <w:tblW w:w="9067" w:type="dxa"/>
          <w:tblInd w:w="113" w:type="dxa"/>
          <w:tblLayout w:type="fixed"/>
          <w:tblLook w:val="04A0"/>
        </w:tblPrEx>
        <w:trPr>
          <w:trHeight w:val="300"/>
        </w:trPr>
        <w:tc>
          <w:tcPr>
            <w:tcW w:w="2440" w:type="dxa"/>
            <w:vMerge w:val="restar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636B5C" w:rsidRPr="00AE0F14" w:rsidP="006F20E0" w14:paraId="08FEF1C8" w14:textId="77777777">
            <w:pPr>
              <w:spacing w:line="240" w:lineRule="atLeast"/>
              <w:contextualSpacing/>
              <w:jc w:val="both"/>
              <w:rPr>
                <w:sz w:val="20"/>
                <w:szCs w:val="20"/>
              </w:rPr>
            </w:pPr>
          </w:p>
        </w:tc>
        <w:tc>
          <w:tcPr>
            <w:tcW w:w="6627" w:type="dxa"/>
            <w:gridSpan w:val="7"/>
            <w:tcBorders>
              <w:top w:val="single" w:sz="4" w:space="0" w:color="auto"/>
              <w:left w:val="nil"/>
              <w:bottom w:val="single" w:sz="4" w:space="0" w:color="auto"/>
              <w:right w:val="single" w:sz="4" w:space="0" w:color="auto"/>
            </w:tcBorders>
            <w:shd w:val="clear" w:color="auto" w:fill="auto"/>
            <w:noWrap/>
            <w:vAlign w:val="bottom"/>
            <w:hideMark/>
          </w:tcPr>
          <w:p w:rsidR="00636B5C" w:rsidRPr="00AE0F14" w:rsidP="006F20E0" w14:paraId="378E340A" w14:textId="77777777">
            <w:pPr>
              <w:spacing w:line="240" w:lineRule="atLeast"/>
              <w:contextualSpacing/>
              <w:jc w:val="both"/>
              <w:rPr>
                <w:b/>
                <w:bCs/>
                <w:sz w:val="20"/>
                <w:szCs w:val="20"/>
              </w:rPr>
            </w:pPr>
            <w:r w:rsidRPr="00AE0F14">
              <w:rPr>
                <w:b/>
                <w:bCs/>
                <w:sz w:val="20"/>
                <w:szCs w:val="20"/>
              </w:rPr>
              <w:t>GADS</w:t>
            </w:r>
          </w:p>
        </w:tc>
      </w:tr>
      <w:tr w14:paraId="7A0CAB90" w14:textId="77777777" w:rsidTr="00E505A2">
        <w:tblPrEx>
          <w:tblW w:w="9067" w:type="dxa"/>
          <w:tblInd w:w="113" w:type="dxa"/>
          <w:tblLayout w:type="fixed"/>
          <w:tblLook w:val="04A0"/>
        </w:tblPrEx>
        <w:trPr>
          <w:trHeight w:val="300"/>
        </w:trPr>
        <w:tc>
          <w:tcPr>
            <w:tcW w:w="2440" w:type="dxa"/>
            <w:vMerge/>
            <w:tcBorders>
              <w:top w:val="single" w:sz="4" w:space="0" w:color="auto"/>
              <w:left w:val="single" w:sz="4" w:space="0" w:color="auto"/>
              <w:bottom w:val="single" w:sz="4" w:space="0" w:color="auto"/>
              <w:right w:val="single" w:sz="4" w:space="0" w:color="auto"/>
            </w:tcBorders>
            <w:vAlign w:val="center"/>
            <w:hideMark/>
          </w:tcPr>
          <w:p w:rsidR="00636B5C" w:rsidRPr="00AE0F14" w:rsidP="006F20E0" w14:paraId="74576200" w14:textId="77777777">
            <w:pPr>
              <w:spacing w:line="240" w:lineRule="atLeast"/>
              <w:contextualSpacing/>
              <w:jc w:val="both"/>
              <w:rPr>
                <w:sz w:val="20"/>
                <w:szCs w:val="20"/>
              </w:rPr>
            </w:pPr>
          </w:p>
        </w:tc>
        <w:tc>
          <w:tcPr>
            <w:tcW w:w="957" w:type="dxa"/>
            <w:tcBorders>
              <w:top w:val="nil"/>
              <w:left w:val="nil"/>
              <w:bottom w:val="single" w:sz="4" w:space="0" w:color="auto"/>
              <w:right w:val="single" w:sz="4" w:space="0" w:color="auto"/>
            </w:tcBorders>
            <w:shd w:val="clear" w:color="auto" w:fill="auto"/>
            <w:vAlign w:val="center"/>
            <w:hideMark/>
          </w:tcPr>
          <w:p w:rsidR="00636B5C" w:rsidRPr="00AE0F14" w:rsidP="006F20E0" w14:paraId="57579B7A" w14:textId="3EBCCC2D">
            <w:pPr>
              <w:spacing w:line="240" w:lineRule="atLeast"/>
              <w:contextualSpacing/>
              <w:jc w:val="both"/>
              <w:rPr>
                <w:b/>
                <w:bCs/>
                <w:sz w:val="20"/>
                <w:szCs w:val="20"/>
              </w:rPr>
            </w:pPr>
            <w:r w:rsidRPr="00AE0F14">
              <w:rPr>
                <w:b/>
                <w:bCs/>
                <w:sz w:val="20"/>
                <w:szCs w:val="20"/>
              </w:rPr>
              <w:t>2018</w:t>
            </w:r>
          </w:p>
        </w:tc>
        <w:tc>
          <w:tcPr>
            <w:tcW w:w="851" w:type="dxa"/>
            <w:tcBorders>
              <w:top w:val="nil"/>
              <w:left w:val="nil"/>
              <w:bottom w:val="single" w:sz="4" w:space="0" w:color="auto"/>
              <w:right w:val="single" w:sz="4" w:space="0" w:color="auto"/>
            </w:tcBorders>
            <w:shd w:val="clear" w:color="auto" w:fill="auto"/>
            <w:vAlign w:val="center"/>
            <w:hideMark/>
          </w:tcPr>
          <w:p w:rsidR="00636B5C" w:rsidRPr="00AE0F14" w:rsidP="006F20E0" w14:paraId="56F46C5D" w14:textId="6DA41F99">
            <w:pPr>
              <w:spacing w:line="240" w:lineRule="atLeast"/>
              <w:contextualSpacing/>
              <w:jc w:val="both"/>
              <w:rPr>
                <w:b/>
                <w:bCs/>
                <w:sz w:val="20"/>
                <w:szCs w:val="20"/>
              </w:rPr>
            </w:pPr>
            <w:r w:rsidRPr="00AE0F14">
              <w:rPr>
                <w:b/>
                <w:bCs/>
                <w:sz w:val="20"/>
                <w:szCs w:val="20"/>
              </w:rPr>
              <w:t>2019</w:t>
            </w:r>
          </w:p>
        </w:tc>
        <w:tc>
          <w:tcPr>
            <w:tcW w:w="850" w:type="dxa"/>
            <w:tcBorders>
              <w:top w:val="nil"/>
              <w:left w:val="nil"/>
              <w:bottom w:val="single" w:sz="4" w:space="0" w:color="auto"/>
              <w:right w:val="single" w:sz="4" w:space="0" w:color="auto"/>
            </w:tcBorders>
            <w:shd w:val="clear" w:color="auto" w:fill="auto"/>
            <w:vAlign w:val="center"/>
            <w:hideMark/>
          </w:tcPr>
          <w:p w:rsidR="00636B5C" w:rsidRPr="00AE0F14" w:rsidP="006F20E0" w14:paraId="79EE0BD7" w14:textId="2D0BE228">
            <w:pPr>
              <w:spacing w:line="240" w:lineRule="atLeast"/>
              <w:contextualSpacing/>
              <w:jc w:val="both"/>
              <w:rPr>
                <w:b/>
                <w:bCs/>
                <w:sz w:val="20"/>
                <w:szCs w:val="20"/>
              </w:rPr>
            </w:pPr>
            <w:r w:rsidRPr="00AE0F14">
              <w:rPr>
                <w:b/>
                <w:bCs/>
                <w:sz w:val="20"/>
                <w:szCs w:val="20"/>
              </w:rPr>
              <w:t>20</w:t>
            </w:r>
            <w:r w:rsidRPr="00AE0F14" w:rsidR="00AE0F14">
              <w:rPr>
                <w:b/>
                <w:bCs/>
                <w:sz w:val="20"/>
                <w:szCs w:val="20"/>
              </w:rPr>
              <w:t>20</w:t>
            </w:r>
          </w:p>
        </w:tc>
        <w:tc>
          <w:tcPr>
            <w:tcW w:w="993" w:type="dxa"/>
            <w:tcBorders>
              <w:top w:val="nil"/>
              <w:left w:val="nil"/>
              <w:bottom w:val="single" w:sz="4" w:space="0" w:color="auto"/>
              <w:right w:val="single" w:sz="4" w:space="0" w:color="auto"/>
            </w:tcBorders>
            <w:shd w:val="clear" w:color="auto" w:fill="auto"/>
            <w:vAlign w:val="center"/>
            <w:hideMark/>
          </w:tcPr>
          <w:p w:rsidR="00636B5C" w:rsidRPr="00AE0F14" w:rsidP="006F20E0" w14:paraId="3C493210" w14:textId="7B1307A5">
            <w:pPr>
              <w:spacing w:line="240" w:lineRule="atLeast"/>
              <w:contextualSpacing/>
              <w:jc w:val="both"/>
              <w:rPr>
                <w:b/>
                <w:bCs/>
                <w:sz w:val="20"/>
                <w:szCs w:val="20"/>
              </w:rPr>
            </w:pPr>
            <w:r w:rsidRPr="00AE0F14">
              <w:rPr>
                <w:b/>
                <w:bCs/>
                <w:sz w:val="20"/>
                <w:szCs w:val="20"/>
              </w:rPr>
              <w:t>202</w:t>
            </w:r>
            <w:r w:rsidRPr="00AE0F14" w:rsidR="00AE0F14">
              <w:rPr>
                <w:b/>
                <w:bCs/>
                <w:sz w:val="20"/>
                <w:szCs w:val="20"/>
              </w:rPr>
              <w:t>1</w:t>
            </w:r>
          </w:p>
        </w:tc>
        <w:tc>
          <w:tcPr>
            <w:tcW w:w="992" w:type="dxa"/>
            <w:tcBorders>
              <w:top w:val="nil"/>
              <w:left w:val="nil"/>
              <w:bottom w:val="single" w:sz="4" w:space="0" w:color="auto"/>
              <w:right w:val="single" w:sz="4" w:space="0" w:color="auto"/>
            </w:tcBorders>
            <w:shd w:val="clear" w:color="auto" w:fill="auto"/>
            <w:vAlign w:val="center"/>
            <w:hideMark/>
          </w:tcPr>
          <w:p w:rsidR="00636B5C" w:rsidRPr="00AE0F14" w:rsidP="006F20E0" w14:paraId="5F126C7F" w14:textId="751D3530">
            <w:pPr>
              <w:spacing w:line="240" w:lineRule="atLeast"/>
              <w:contextualSpacing/>
              <w:jc w:val="both"/>
              <w:rPr>
                <w:b/>
                <w:bCs/>
                <w:sz w:val="20"/>
                <w:szCs w:val="20"/>
              </w:rPr>
            </w:pPr>
            <w:r w:rsidRPr="00AE0F14">
              <w:rPr>
                <w:b/>
                <w:bCs/>
                <w:sz w:val="20"/>
                <w:szCs w:val="20"/>
              </w:rPr>
              <w:t>202</w:t>
            </w:r>
            <w:r w:rsidRPr="00AE0F14" w:rsidR="00AE0F14">
              <w:rPr>
                <w:b/>
                <w:bCs/>
                <w:sz w:val="20"/>
                <w:szCs w:val="20"/>
              </w:rPr>
              <w:t>2</w:t>
            </w:r>
          </w:p>
        </w:tc>
        <w:tc>
          <w:tcPr>
            <w:tcW w:w="992" w:type="dxa"/>
            <w:tcBorders>
              <w:top w:val="nil"/>
              <w:left w:val="nil"/>
              <w:bottom w:val="single" w:sz="4" w:space="0" w:color="auto"/>
              <w:right w:val="single" w:sz="4" w:space="0" w:color="auto"/>
            </w:tcBorders>
            <w:shd w:val="clear" w:color="auto" w:fill="auto"/>
            <w:vAlign w:val="center"/>
            <w:hideMark/>
          </w:tcPr>
          <w:p w:rsidR="00636B5C" w:rsidRPr="00AE0F14" w:rsidP="006F20E0" w14:paraId="60D9386C" w14:textId="7E020438">
            <w:pPr>
              <w:spacing w:line="240" w:lineRule="atLeast"/>
              <w:contextualSpacing/>
              <w:jc w:val="both"/>
              <w:rPr>
                <w:b/>
                <w:bCs/>
                <w:sz w:val="20"/>
                <w:szCs w:val="20"/>
              </w:rPr>
            </w:pPr>
            <w:r w:rsidRPr="00AE0F14">
              <w:rPr>
                <w:b/>
                <w:bCs/>
                <w:sz w:val="20"/>
                <w:szCs w:val="20"/>
              </w:rPr>
              <w:t>202</w:t>
            </w:r>
            <w:r w:rsidRPr="00AE0F14" w:rsidR="00AE0F14">
              <w:rPr>
                <w:b/>
                <w:bCs/>
                <w:sz w:val="20"/>
                <w:szCs w:val="20"/>
              </w:rPr>
              <w:t>3</w:t>
            </w:r>
          </w:p>
        </w:tc>
        <w:tc>
          <w:tcPr>
            <w:tcW w:w="992" w:type="dxa"/>
            <w:tcBorders>
              <w:top w:val="nil"/>
              <w:left w:val="nil"/>
              <w:bottom w:val="single" w:sz="4" w:space="0" w:color="auto"/>
              <w:right w:val="single" w:sz="4" w:space="0" w:color="auto"/>
            </w:tcBorders>
            <w:shd w:val="clear" w:color="auto" w:fill="auto"/>
            <w:vAlign w:val="center"/>
            <w:hideMark/>
          </w:tcPr>
          <w:p w:rsidR="00636B5C" w:rsidRPr="00AE0F14" w:rsidP="006F20E0" w14:paraId="085683D8" w14:textId="0542DBE4">
            <w:pPr>
              <w:spacing w:line="240" w:lineRule="atLeast"/>
              <w:contextualSpacing/>
              <w:jc w:val="both"/>
              <w:rPr>
                <w:b/>
                <w:bCs/>
                <w:sz w:val="20"/>
                <w:szCs w:val="20"/>
              </w:rPr>
            </w:pPr>
            <w:r w:rsidRPr="00AE0F14">
              <w:rPr>
                <w:b/>
                <w:bCs/>
                <w:sz w:val="20"/>
                <w:szCs w:val="20"/>
              </w:rPr>
              <w:t>202</w:t>
            </w:r>
            <w:r w:rsidRPr="00AE0F14" w:rsidR="00AE0F14">
              <w:rPr>
                <w:b/>
                <w:bCs/>
                <w:sz w:val="20"/>
                <w:szCs w:val="20"/>
              </w:rPr>
              <w:t>4</w:t>
            </w:r>
          </w:p>
        </w:tc>
      </w:tr>
      <w:tr w14:paraId="5D37C4CE" w14:textId="77777777" w:rsidTr="00E505A2">
        <w:tblPrEx>
          <w:tblW w:w="9067" w:type="dxa"/>
          <w:tblInd w:w="113" w:type="dxa"/>
          <w:tblLayout w:type="fixed"/>
          <w:tblLook w:val="04A0"/>
        </w:tblPrEx>
        <w:trPr>
          <w:trHeight w:val="600"/>
        </w:trPr>
        <w:tc>
          <w:tcPr>
            <w:tcW w:w="2440" w:type="dxa"/>
            <w:tcBorders>
              <w:top w:val="nil"/>
              <w:left w:val="single" w:sz="4" w:space="0" w:color="auto"/>
              <w:bottom w:val="single" w:sz="4" w:space="0" w:color="auto"/>
              <w:right w:val="single" w:sz="4" w:space="0" w:color="auto"/>
            </w:tcBorders>
            <w:shd w:val="clear" w:color="auto" w:fill="auto"/>
            <w:vAlign w:val="center"/>
            <w:hideMark/>
          </w:tcPr>
          <w:p w:rsidR="00636B5C" w:rsidRPr="00AE0F14" w:rsidP="006F20E0" w14:paraId="531EB90F" w14:textId="77777777">
            <w:pPr>
              <w:spacing w:line="240" w:lineRule="atLeast"/>
              <w:contextualSpacing/>
              <w:jc w:val="both"/>
              <w:rPr>
                <w:b/>
                <w:bCs/>
                <w:sz w:val="20"/>
                <w:szCs w:val="20"/>
              </w:rPr>
            </w:pPr>
            <w:r w:rsidRPr="00AE0F14">
              <w:rPr>
                <w:b/>
                <w:bCs/>
                <w:sz w:val="20"/>
                <w:szCs w:val="20"/>
              </w:rPr>
              <w:t xml:space="preserve">Kopējais iedzīvotāju skaits </w:t>
            </w:r>
          </w:p>
        </w:tc>
        <w:tc>
          <w:tcPr>
            <w:tcW w:w="957" w:type="dxa"/>
            <w:tcBorders>
              <w:top w:val="nil"/>
              <w:left w:val="nil"/>
              <w:bottom w:val="single" w:sz="4" w:space="0" w:color="auto"/>
              <w:right w:val="single" w:sz="4" w:space="0" w:color="auto"/>
            </w:tcBorders>
            <w:shd w:val="clear" w:color="auto" w:fill="auto"/>
            <w:vAlign w:val="center"/>
            <w:hideMark/>
          </w:tcPr>
          <w:p w:rsidR="00636B5C" w:rsidRPr="00AE0F14" w:rsidP="006F20E0" w14:paraId="5CAE5721" w14:textId="5D431D4C">
            <w:pPr>
              <w:spacing w:line="240" w:lineRule="atLeast"/>
              <w:contextualSpacing/>
              <w:jc w:val="both"/>
              <w:rPr>
                <w:sz w:val="20"/>
                <w:szCs w:val="20"/>
              </w:rPr>
            </w:pPr>
            <w:r w:rsidRPr="00AE0F14">
              <w:rPr>
                <w:sz w:val="20"/>
                <w:szCs w:val="20"/>
              </w:rPr>
              <w:t>3</w:t>
            </w:r>
            <w:r w:rsidRPr="00AE0F14" w:rsidR="00AE0F14">
              <w:rPr>
                <w:sz w:val="20"/>
                <w:szCs w:val="20"/>
              </w:rPr>
              <w:t>2701</w:t>
            </w:r>
          </w:p>
        </w:tc>
        <w:tc>
          <w:tcPr>
            <w:tcW w:w="851" w:type="dxa"/>
            <w:tcBorders>
              <w:top w:val="nil"/>
              <w:left w:val="nil"/>
              <w:bottom w:val="single" w:sz="4" w:space="0" w:color="auto"/>
              <w:right w:val="single" w:sz="4" w:space="0" w:color="auto"/>
            </w:tcBorders>
            <w:shd w:val="clear" w:color="auto" w:fill="auto"/>
            <w:vAlign w:val="center"/>
            <w:hideMark/>
          </w:tcPr>
          <w:p w:rsidR="00636B5C" w:rsidRPr="00AE0F14" w:rsidP="006F20E0" w14:paraId="27516F4C" w14:textId="7F9646F3">
            <w:pPr>
              <w:spacing w:line="240" w:lineRule="atLeast"/>
              <w:contextualSpacing/>
              <w:jc w:val="both"/>
              <w:rPr>
                <w:sz w:val="20"/>
                <w:szCs w:val="20"/>
              </w:rPr>
            </w:pPr>
            <w:r w:rsidRPr="00AE0F14">
              <w:rPr>
                <w:sz w:val="20"/>
                <w:szCs w:val="20"/>
              </w:rPr>
              <w:t>31934</w:t>
            </w:r>
          </w:p>
        </w:tc>
        <w:tc>
          <w:tcPr>
            <w:tcW w:w="850" w:type="dxa"/>
            <w:tcBorders>
              <w:top w:val="nil"/>
              <w:left w:val="nil"/>
              <w:bottom w:val="single" w:sz="4" w:space="0" w:color="auto"/>
              <w:right w:val="single" w:sz="4" w:space="0" w:color="auto"/>
            </w:tcBorders>
            <w:shd w:val="clear" w:color="auto" w:fill="auto"/>
            <w:vAlign w:val="center"/>
            <w:hideMark/>
          </w:tcPr>
          <w:p w:rsidR="00636B5C" w:rsidRPr="00AE0F14" w:rsidP="006F20E0" w14:paraId="7A277612" w14:textId="7FEC5FC3">
            <w:pPr>
              <w:spacing w:line="240" w:lineRule="atLeast"/>
              <w:contextualSpacing/>
              <w:jc w:val="both"/>
              <w:rPr>
                <w:sz w:val="20"/>
                <w:szCs w:val="20"/>
              </w:rPr>
            </w:pPr>
            <w:r w:rsidRPr="00AE0F14">
              <w:rPr>
                <w:sz w:val="20"/>
                <w:szCs w:val="20"/>
              </w:rPr>
              <w:t>31324</w:t>
            </w:r>
          </w:p>
        </w:tc>
        <w:tc>
          <w:tcPr>
            <w:tcW w:w="993" w:type="dxa"/>
            <w:tcBorders>
              <w:top w:val="nil"/>
              <w:left w:val="nil"/>
              <w:bottom w:val="single" w:sz="4" w:space="0" w:color="auto"/>
              <w:right w:val="single" w:sz="4" w:space="0" w:color="auto"/>
            </w:tcBorders>
            <w:shd w:val="clear" w:color="auto" w:fill="auto"/>
            <w:vAlign w:val="center"/>
            <w:hideMark/>
          </w:tcPr>
          <w:p w:rsidR="00636B5C" w:rsidRPr="00AE0F14" w:rsidP="006F20E0" w14:paraId="56E98AF9" w14:textId="2C6DF494">
            <w:pPr>
              <w:spacing w:line="240" w:lineRule="atLeast"/>
              <w:contextualSpacing/>
              <w:jc w:val="both"/>
              <w:rPr>
                <w:sz w:val="20"/>
                <w:szCs w:val="20"/>
              </w:rPr>
            </w:pPr>
            <w:r w:rsidRPr="00AE0F14">
              <w:rPr>
                <w:sz w:val="20"/>
                <w:szCs w:val="20"/>
              </w:rPr>
              <w:t>30963</w:t>
            </w:r>
          </w:p>
        </w:tc>
        <w:tc>
          <w:tcPr>
            <w:tcW w:w="992" w:type="dxa"/>
            <w:tcBorders>
              <w:top w:val="nil"/>
              <w:left w:val="nil"/>
              <w:bottom w:val="single" w:sz="4" w:space="0" w:color="auto"/>
              <w:right w:val="single" w:sz="4" w:space="0" w:color="auto"/>
            </w:tcBorders>
            <w:shd w:val="clear" w:color="auto" w:fill="auto"/>
            <w:vAlign w:val="center"/>
            <w:hideMark/>
          </w:tcPr>
          <w:p w:rsidR="00636B5C" w:rsidRPr="00AE0F14" w:rsidP="006F20E0" w14:paraId="588544CD" w14:textId="351CF77E">
            <w:pPr>
              <w:spacing w:line="240" w:lineRule="atLeast"/>
              <w:contextualSpacing/>
              <w:jc w:val="both"/>
              <w:rPr>
                <w:sz w:val="20"/>
                <w:szCs w:val="20"/>
              </w:rPr>
            </w:pPr>
            <w:r w:rsidRPr="00AE0F14">
              <w:rPr>
                <w:sz w:val="20"/>
                <w:szCs w:val="20"/>
              </w:rPr>
              <w:t>30774</w:t>
            </w:r>
          </w:p>
        </w:tc>
        <w:tc>
          <w:tcPr>
            <w:tcW w:w="992" w:type="dxa"/>
            <w:tcBorders>
              <w:top w:val="nil"/>
              <w:left w:val="nil"/>
              <w:bottom w:val="single" w:sz="4" w:space="0" w:color="auto"/>
              <w:right w:val="single" w:sz="4" w:space="0" w:color="auto"/>
            </w:tcBorders>
            <w:shd w:val="clear" w:color="auto" w:fill="auto"/>
            <w:vAlign w:val="center"/>
            <w:hideMark/>
          </w:tcPr>
          <w:p w:rsidR="00636B5C" w:rsidRPr="00AE0F14" w:rsidP="006F20E0" w14:paraId="0BAD5E38" w14:textId="04ADFB5A">
            <w:pPr>
              <w:spacing w:line="240" w:lineRule="atLeast"/>
              <w:contextualSpacing/>
              <w:jc w:val="both"/>
              <w:rPr>
                <w:sz w:val="20"/>
                <w:szCs w:val="20"/>
              </w:rPr>
            </w:pPr>
            <w:r w:rsidRPr="00AE0F14">
              <w:rPr>
                <w:sz w:val="20"/>
                <w:szCs w:val="20"/>
              </w:rPr>
              <w:t>30387</w:t>
            </w:r>
          </w:p>
        </w:tc>
        <w:tc>
          <w:tcPr>
            <w:tcW w:w="992" w:type="dxa"/>
            <w:tcBorders>
              <w:top w:val="nil"/>
              <w:left w:val="nil"/>
              <w:bottom w:val="single" w:sz="4" w:space="0" w:color="auto"/>
              <w:right w:val="single" w:sz="4" w:space="0" w:color="auto"/>
            </w:tcBorders>
            <w:shd w:val="clear" w:color="auto" w:fill="auto"/>
            <w:vAlign w:val="center"/>
          </w:tcPr>
          <w:p w:rsidR="00636B5C" w:rsidRPr="00AE0F14" w:rsidP="006F20E0" w14:paraId="1504337B" w14:textId="20489C92">
            <w:pPr>
              <w:spacing w:line="240" w:lineRule="atLeast"/>
              <w:contextualSpacing/>
              <w:jc w:val="both"/>
              <w:rPr>
                <w:sz w:val="20"/>
                <w:szCs w:val="20"/>
              </w:rPr>
            </w:pPr>
            <w:r>
              <w:rPr>
                <w:sz w:val="20"/>
                <w:szCs w:val="20"/>
              </w:rPr>
              <w:t>29684</w:t>
            </w:r>
          </w:p>
        </w:tc>
      </w:tr>
      <w:tr w14:paraId="3313E0FE" w14:textId="77777777" w:rsidTr="00E505A2">
        <w:tblPrEx>
          <w:tblW w:w="9067" w:type="dxa"/>
          <w:tblInd w:w="113" w:type="dxa"/>
          <w:tblLayout w:type="fixed"/>
          <w:tblLook w:val="04A0"/>
        </w:tblPrEx>
        <w:trPr>
          <w:trHeight w:val="900"/>
        </w:trPr>
        <w:tc>
          <w:tcPr>
            <w:tcW w:w="2440" w:type="dxa"/>
            <w:tcBorders>
              <w:top w:val="nil"/>
              <w:left w:val="single" w:sz="4" w:space="0" w:color="auto"/>
              <w:bottom w:val="single" w:sz="4" w:space="0" w:color="auto"/>
              <w:right w:val="single" w:sz="4" w:space="0" w:color="auto"/>
            </w:tcBorders>
            <w:shd w:val="clear" w:color="auto" w:fill="auto"/>
            <w:vAlign w:val="bottom"/>
            <w:hideMark/>
          </w:tcPr>
          <w:p w:rsidR="00636B5C" w:rsidRPr="00AE0F14" w:rsidP="006F20E0" w14:paraId="3F860BD8" w14:textId="77777777">
            <w:pPr>
              <w:spacing w:line="240" w:lineRule="atLeast"/>
              <w:contextualSpacing/>
              <w:jc w:val="both"/>
              <w:rPr>
                <w:b/>
                <w:bCs/>
                <w:sz w:val="20"/>
                <w:szCs w:val="20"/>
              </w:rPr>
            </w:pPr>
            <w:r w:rsidRPr="00AE0F14">
              <w:rPr>
                <w:b/>
                <w:bCs/>
                <w:sz w:val="20"/>
                <w:szCs w:val="20"/>
              </w:rPr>
              <w:t>Iedzīvotāju skaita izmaiņas attiecībā pret iepriekšējo gadu</w:t>
            </w:r>
          </w:p>
        </w:tc>
        <w:tc>
          <w:tcPr>
            <w:tcW w:w="957" w:type="dxa"/>
            <w:tcBorders>
              <w:top w:val="nil"/>
              <w:left w:val="nil"/>
              <w:bottom w:val="single" w:sz="4" w:space="0" w:color="auto"/>
              <w:right w:val="single" w:sz="4" w:space="0" w:color="auto"/>
            </w:tcBorders>
            <w:shd w:val="clear" w:color="auto" w:fill="auto"/>
            <w:noWrap/>
            <w:vAlign w:val="bottom"/>
            <w:hideMark/>
          </w:tcPr>
          <w:p w:rsidR="00636B5C" w:rsidRPr="00AE0F14" w:rsidP="006F20E0" w14:paraId="148144B9" w14:textId="77777777">
            <w:pPr>
              <w:spacing w:line="240" w:lineRule="atLeast"/>
              <w:contextualSpacing/>
              <w:jc w:val="both"/>
              <w:rPr>
                <w:sz w:val="20"/>
                <w:szCs w:val="20"/>
              </w:rPr>
            </w:pPr>
            <w:r w:rsidRPr="00AE0F14">
              <w:rPr>
                <w:sz w:val="20"/>
                <w:szCs w:val="20"/>
              </w:rPr>
              <w:t>X</w:t>
            </w:r>
          </w:p>
        </w:tc>
        <w:tc>
          <w:tcPr>
            <w:tcW w:w="851" w:type="dxa"/>
            <w:tcBorders>
              <w:top w:val="nil"/>
              <w:left w:val="nil"/>
              <w:bottom w:val="single" w:sz="4" w:space="0" w:color="auto"/>
              <w:right w:val="single" w:sz="4" w:space="0" w:color="auto"/>
            </w:tcBorders>
            <w:shd w:val="clear" w:color="auto" w:fill="auto"/>
            <w:noWrap/>
            <w:vAlign w:val="bottom"/>
            <w:hideMark/>
          </w:tcPr>
          <w:p w:rsidR="00636B5C" w:rsidRPr="00AE0F14" w:rsidP="006F20E0" w14:paraId="3E362C39" w14:textId="07BC3815">
            <w:pPr>
              <w:spacing w:line="240" w:lineRule="atLeast"/>
              <w:contextualSpacing/>
              <w:jc w:val="both"/>
              <w:rPr>
                <w:sz w:val="20"/>
                <w:szCs w:val="20"/>
              </w:rPr>
            </w:pPr>
            <w:r w:rsidRPr="00AE0F14">
              <w:rPr>
                <w:sz w:val="20"/>
                <w:szCs w:val="20"/>
              </w:rPr>
              <w:t>-</w:t>
            </w:r>
            <w:r w:rsidRPr="00AE0F14" w:rsidR="00AE0F14">
              <w:rPr>
                <w:sz w:val="20"/>
                <w:szCs w:val="20"/>
              </w:rPr>
              <w:t>767</w:t>
            </w:r>
          </w:p>
        </w:tc>
        <w:tc>
          <w:tcPr>
            <w:tcW w:w="850" w:type="dxa"/>
            <w:tcBorders>
              <w:top w:val="nil"/>
              <w:left w:val="nil"/>
              <w:bottom w:val="single" w:sz="4" w:space="0" w:color="auto"/>
              <w:right w:val="single" w:sz="4" w:space="0" w:color="auto"/>
            </w:tcBorders>
            <w:shd w:val="clear" w:color="auto" w:fill="auto"/>
            <w:noWrap/>
            <w:vAlign w:val="bottom"/>
            <w:hideMark/>
          </w:tcPr>
          <w:p w:rsidR="00636B5C" w:rsidRPr="00AE0F14" w:rsidP="006F20E0" w14:paraId="3F4B5755" w14:textId="4103A388">
            <w:pPr>
              <w:spacing w:line="240" w:lineRule="atLeast"/>
              <w:contextualSpacing/>
              <w:jc w:val="both"/>
              <w:rPr>
                <w:sz w:val="20"/>
                <w:szCs w:val="20"/>
              </w:rPr>
            </w:pPr>
            <w:r w:rsidRPr="00AE0F14">
              <w:rPr>
                <w:sz w:val="20"/>
                <w:szCs w:val="20"/>
              </w:rPr>
              <w:t>-</w:t>
            </w:r>
            <w:r w:rsidRPr="00AE0F14" w:rsidR="00AE0F14">
              <w:rPr>
                <w:sz w:val="20"/>
                <w:szCs w:val="20"/>
              </w:rPr>
              <w:t>610</w:t>
            </w:r>
          </w:p>
        </w:tc>
        <w:tc>
          <w:tcPr>
            <w:tcW w:w="993" w:type="dxa"/>
            <w:tcBorders>
              <w:top w:val="nil"/>
              <w:left w:val="nil"/>
              <w:bottom w:val="single" w:sz="4" w:space="0" w:color="auto"/>
              <w:right w:val="single" w:sz="4" w:space="0" w:color="auto"/>
            </w:tcBorders>
            <w:shd w:val="clear" w:color="auto" w:fill="auto"/>
            <w:noWrap/>
            <w:vAlign w:val="bottom"/>
            <w:hideMark/>
          </w:tcPr>
          <w:p w:rsidR="00636B5C" w:rsidRPr="00AE0F14" w:rsidP="006F20E0" w14:paraId="48621C70" w14:textId="31375D2F">
            <w:pPr>
              <w:spacing w:line="240" w:lineRule="atLeast"/>
              <w:contextualSpacing/>
              <w:jc w:val="both"/>
              <w:rPr>
                <w:sz w:val="20"/>
                <w:szCs w:val="20"/>
              </w:rPr>
            </w:pPr>
            <w:r w:rsidRPr="00AE0F14">
              <w:rPr>
                <w:sz w:val="20"/>
                <w:szCs w:val="20"/>
              </w:rPr>
              <w:t>-</w:t>
            </w:r>
            <w:r w:rsidRPr="00AE0F14" w:rsidR="00AE0F14">
              <w:rPr>
                <w:sz w:val="20"/>
                <w:szCs w:val="20"/>
              </w:rPr>
              <w:t>361</w:t>
            </w:r>
          </w:p>
        </w:tc>
        <w:tc>
          <w:tcPr>
            <w:tcW w:w="992" w:type="dxa"/>
            <w:tcBorders>
              <w:top w:val="nil"/>
              <w:left w:val="nil"/>
              <w:bottom w:val="single" w:sz="4" w:space="0" w:color="auto"/>
              <w:right w:val="single" w:sz="4" w:space="0" w:color="auto"/>
            </w:tcBorders>
            <w:shd w:val="clear" w:color="auto" w:fill="auto"/>
            <w:noWrap/>
            <w:vAlign w:val="bottom"/>
            <w:hideMark/>
          </w:tcPr>
          <w:p w:rsidR="00636B5C" w:rsidRPr="00AE0F14" w:rsidP="006F20E0" w14:paraId="76E9D63E" w14:textId="34234BE8">
            <w:pPr>
              <w:spacing w:line="240" w:lineRule="atLeast"/>
              <w:contextualSpacing/>
              <w:jc w:val="both"/>
              <w:rPr>
                <w:sz w:val="20"/>
                <w:szCs w:val="20"/>
              </w:rPr>
            </w:pPr>
            <w:r w:rsidRPr="00AE0F14">
              <w:rPr>
                <w:sz w:val="20"/>
                <w:szCs w:val="20"/>
              </w:rPr>
              <w:t>-</w:t>
            </w:r>
            <w:r w:rsidRPr="00AE0F14" w:rsidR="00AE0F14">
              <w:rPr>
                <w:sz w:val="20"/>
                <w:szCs w:val="20"/>
              </w:rPr>
              <w:t>189</w:t>
            </w:r>
          </w:p>
        </w:tc>
        <w:tc>
          <w:tcPr>
            <w:tcW w:w="992" w:type="dxa"/>
            <w:tcBorders>
              <w:top w:val="nil"/>
              <w:left w:val="nil"/>
              <w:bottom w:val="single" w:sz="4" w:space="0" w:color="auto"/>
              <w:right w:val="single" w:sz="4" w:space="0" w:color="auto"/>
            </w:tcBorders>
            <w:shd w:val="clear" w:color="auto" w:fill="auto"/>
            <w:noWrap/>
            <w:vAlign w:val="bottom"/>
            <w:hideMark/>
          </w:tcPr>
          <w:p w:rsidR="00636B5C" w:rsidRPr="00AE0F14" w:rsidP="006F20E0" w14:paraId="03CCF566" w14:textId="10B758B7">
            <w:pPr>
              <w:spacing w:line="240" w:lineRule="atLeast"/>
              <w:contextualSpacing/>
              <w:jc w:val="both"/>
              <w:rPr>
                <w:sz w:val="20"/>
                <w:szCs w:val="20"/>
              </w:rPr>
            </w:pPr>
            <w:r w:rsidRPr="00AE0F14">
              <w:rPr>
                <w:sz w:val="20"/>
                <w:szCs w:val="20"/>
              </w:rPr>
              <w:t>-</w:t>
            </w:r>
            <w:r w:rsidRPr="00AE0F14" w:rsidR="00AE0F14">
              <w:rPr>
                <w:sz w:val="20"/>
                <w:szCs w:val="20"/>
              </w:rPr>
              <w:t>387</w:t>
            </w:r>
          </w:p>
        </w:tc>
        <w:tc>
          <w:tcPr>
            <w:tcW w:w="992" w:type="dxa"/>
            <w:tcBorders>
              <w:top w:val="nil"/>
              <w:left w:val="nil"/>
              <w:bottom w:val="single" w:sz="4" w:space="0" w:color="auto"/>
              <w:right w:val="single" w:sz="4" w:space="0" w:color="auto"/>
            </w:tcBorders>
            <w:shd w:val="clear" w:color="auto" w:fill="auto"/>
            <w:noWrap/>
            <w:vAlign w:val="bottom"/>
          </w:tcPr>
          <w:p w:rsidR="00636B5C" w:rsidRPr="00AE0F14" w:rsidP="006F20E0" w14:paraId="68EEFAAE" w14:textId="104EB50A">
            <w:pPr>
              <w:spacing w:line="240" w:lineRule="atLeast"/>
              <w:contextualSpacing/>
              <w:jc w:val="both"/>
              <w:rPr>
                <w:sz w:val="20"/>
                <w:szCs w:val="20"/>
              </w:rPr>
            </w:pPr>
            <w:r w:rsidRPr="00AE0F14">
              <w:rPr>
                <w:sz w:val="20"/>
                <w:szCs w:val="20"/>
              </w:rPr>
              <w:t>-</w:t>
            </w:r>
            <w:r>
              <w:rPr>
                <w:sz w:val="20"/>
                <w:szCs w:val="20"/>
              </w:rPr>
              <w:t>703</w:t>
            </w:r>
          </w:p>
        </w:tc>
      </w:tr>
    </w:tbl>
    <w:p w:rsidR="00636B5C" w:rsidRPr="00AE0F14" w:rsidP="006F20E0" w14:paraId="1CAB4CD0" w14:textId="77777777">
      <w:pPr>
        <w:autoSpaceDE w:val="0"/>
        <w:autoSpaceDN w:val="0"/>
        <w:adjustRightInd w:val="0"/>
        <w:spacing w:line="240" w:lineRule="atLeast"/>
        <w:ind w:firstLine="720"/>
        <w:contextualSpacing/>
        <w:jc w:val="right"/>
        <w:rPr>
          <w:rFonts w:eastAsia="Calibri"/>
          <w:sz w:val="20"/>
          <w:szCs w:val="20"/>
          <w:lang w:eastAsia="en-US"/>
        </w:rPr>
      </w:pPr>
      <w:r w:rsidRPr="00AE0F14">
        <w:rPr>
          <w:rFonts w:eastAsia="Calibri"/>
          <w:sz w:val="20"/>
          <w:szCs w:val="20"/>
          <w:lang w:eastAsia="en-US"/>
        </w:rPr>
        <w:t>Datu avots: PMLP dati</w:t>
      </w:r>
    </w:p>
    <w:p w:rsidR="00636B5C" w:rsidRPr="00636B5C" w:rsidP="006F20E0" w14:paraId="72AE878C" w14:textId="66B7B4EC">
      <w:pPr>
        <w:autoSpaceDE w:val="0"/>
        <w:autoSpaceDN w:val="0"/>
        <w:adjustRightInd w:val="0"/>
        <w:spacing w:line="240" w:lineRule="atLeast"/>
        <w:ind w:firstLine="720"/>
        <w:contextualSpacing/>
        <w:jc w:val="both"/>
        <w:rPr>
          <w:rFonts w:eastAsia="Calibri"/>
          <w:color w:val="FF0000"/>
          <w:sz w:val="20"/>
          <w:szCs w:val="20"/>
          <w:lang w:eastAsia="en-US"/>
        </w:rPr>
      </w:pPr>
      <w:r w:rsidRPr="00123D5C">
        <w:rPr>
          <w:sz w:val="20"/>
          <w:szCs w:val="20"/>
        </w:rPr>
        <w:t>Uz 01.07.202</w:t>
      </w:r>
      <w:r w:rsidRPr="00123D5C" w:rsidR="00123D5C">
        <w:rPr>
          <w:sz w:val="20"/>
          <w:szCs w:val="20"/>
        </w:rPr>
        <w:t>4</w:t>
      </w:r>
      <w:r w:rsidRPr="00123D5C">
        <w:rPr>
          <w:sz w:val="20"/>
          <w:szCs w:val="20"/>
        </w:rPr>
        <w:t xml:space="preserve"> kā savu dzīves vietu Rēzeknes novadā deklarējuši </w:t>
      </w:r>
      <w:r w:rsidRPr="00123D5C" w:rsidR="00123D5C">
        <w:rPr>
          <w:sz w:val="20"/>
          <w:szCs w:val="20"/>
        </w:rPr>
        <w:t>29 684</w:t>
      </w:r>
      <w:r w:rsidRPr="00123D5C">
        <w:rPr>
          <w:sz w:val="20"/>
          <w:szCs w:val="20"/>
        </w:rPr>
        <w:t xml:space="preserve"> iedzīvotāji, kas ir par </w:t>
      </w:r>
      <w:r w:rsidRPr="00123D5C" w:rsidR="00123D5C">
        <w:rPr>
          <w:sz w:val="20"/>
          <w:szCs w:val="20"/>
        </w:rPr>
        <w:t>703</w:t>
      </w:r>
      <w:r w:rsidRPr="00123D5C">
        <w:rPr>
          <w:sz w:val="20"/>
          <w:szCs w:val="20"/>
        </w:rPr>
        <w:t xml:space="preserve"> iedzīvotājiem  mazāk nekā bija deklarējušies 01.0</w:t>
      </w:r>
      <w:r w:rsidRPr="00123D5C" w:rsidR="00123D5C">
        <w:rPr>
          <w:sz w:val="20"/>
          <w:szCs w:val="20"/>
        </w:rPr>
        <w:t>7</w:t>
      </w:r>
      <w:r w:rsidRPr="00123D5C">
        <w:rPr>
          <w:sz w:val="20"/>
          <w:szCs w:val="20"/>
        </w:rPr>
        <w:t xml:space="preserve">.2023. Kā redzams tabulā, tad kopumā novadā turpina samazināties iedzīvotāju skaits. </w:t>
      </w:r>
      <w:r w:rsidRPr="00123D5C">
        <w:rPr>
          <w:rFonts w:eastAsia="Calibri"/>
          <w:sz w:val="20"/>
          <w:szCs w:val="20"/>
          <w:lang w:eastAsia="en-US"/>
        </w:rPr>
        <w:t xml:space="preserve">Iedzīvotāju skaitu būtiski ietekmē ne tikai dabiskais pieaugums, bet arī migrācijas procesi, vēl aizvien iedzīvotājiem pārceļoties uz lielākām pilsētām un ārpus valsts. Samazinoties iedzīvotāju skaitam un līdz ar to </w:t>
      </w:r>
      <w:r w:rsidRPr="00123D5C">
        <w:rPr>
          <w:rFonts w:eastAsia="Calibri"/>
          <w:sz w:val="20"/>
          <w:szCs w:val="20"/>
          <w:lang w:eastAsia="en-US"/>
        </w:rPr>
        <w:t>arī darbspējīgo iedzīvotāju skaitam, novadā palielinās arī demogrāfiskā slodze. Līdz ar to viens no būtiskākajiem pašvaldības uzdevumiem būs iespēju robežās palēnināt iedzīvotāju skaita samazināšanos. Rēzeknes n</w:t>
      </w:r>
      <w:r w:rsidRPr="00123D5C">
        <w:rPr>
          <w:rFonts w:eastAsia="Calibri"/>
          <w:sz w:val="20"/>
          <w:szCs w:val="20"/>
          <w:lang w:eastAsia="en-US"/>
        </w:rPr>
        <w:t>ovada teritorijas demogrāfiskā situācija kopumā atspoguļo vispārējās izmaiņas Latvijā pēdējo gadu laikā.</w:t>
      </w:r>
    </w:p>
    <w:p w:rsidR="00636B5C" w:rsidRPr="00636B5C" w:rsidP="006F20E0" w14:paraId="2C930AB5" w14:textId="77777777">
      <w:pPr>
        <w:autoSpaceDE w:val="0"/>
        <w:autoSpaceDN w:val="0"/>
        <w:adjustRightInd w:val="0"/>
        <w:spacing w:line="240" w:lineRule="atLeast"/>
        <w:contextualSpacing/>
        <w:jc w:val="both"/>
        <w:rPr>
          <w:rFonts w:eastAsia="Calibri"/>
          <w:color w:val="FF0000"/>
          <w:sz w:val="20"/>
          <w:szCs w:val="20"/>
          <w:lang w:eastAsia="en-US"/>
        </w:rPr>
      </w:pPr>
    </w:p>
    <w:p w:rsidR="00636B5C" w:rsidRPr="00636B5C" w:rsidP="006F20E0" w14:paraId="200E9D8B" w14:textId="77777777">
      <w:pPr>
        <w:autoSpaceDE w:val="0"/>
        <w:autoSpaceDN w:val="0"/>
        <w:adjustRightInd w:val="0"/>
        <w:spacing w:line="240" w:lineRule="atLeast"/>
        <w:contextualSpacing/>
        <w:jc w:val="both"/>
        <w:rPr>
          <w:rFonts w:eastAsia="Calibri"/>
          <w:color w:val="FF0000"/>
          <w:sz w:val="20"/>
          <w:szCs w:val="20"/>
          <w:lang w:eastAsia="en-US"/>
        </w:rPr>
      </w:pPr>
    </w:p>
    <w:p w:rsidR="00636B5C" w:rsidRPr="00636B5C" w:rsidP="006F20E0" w14:paraId="6BBEA487" w14:textId="46E3BA75">
      <w:pPr>
        <w:autoSpaceDE w:val="0"/>
        <w:autoSpaceDN w:val="0"/>
        <w:adjustRightInd w:val="0"/>
        <w:spacing w:line="240" w:lineRule="atLeast"/>
        <w:ind w:firstLine="720"/>
        <w:contextualSpacing/>
        <w:jc w:val="center"/>
        <w:rPr>
          <w:b/>
          <w:bCs/>
          <w:color w:val="FF0000"/>
          <w:sz w:val="20"/>
          <w:szCs w:val="20"/>
        </w:rPr>
      </w:pPr>
      <w:r w:rsidRPr="00246E7A">
        <w:rPr>
          <w:b/>
          <w:bCs/>
          <w:sz w:val="20"/>
          <w:szCs w:val="20"/>
        </w:rPr>
        <w:t>Iedzīvotāju skaits Rēzeknes novadā 202</w:t>
      </w:r>
      <w:r w:rsidRPr="00246E7A" w:rsidR="00246E7A">
        <w:rPr>
          <w:b/>
          <w:bCs/>
          <w:sz w:val="20"/>
          <w:szCs w:val="20"/>
        </w:rPr>
        <w:t>4</w:t>
      </w:r>
      <w:r w:rsidRPr="00246E7A">
        <w:rPr>
          <w:b/>
          <w:bCs/>
          <w:sz w:val="20"/>
          <w:szCs w:val="20"/>
        </w:rPr>
        <w:t>. gadā pa vecuma grupām</w:t>
      </w:r>
    </w:p>
    <w:p w:rsidR="00636B5C" w:rsidRPr="00636B5C" w:rsidP="006F20E0" w14:paraId="0BBAB061" w14:textId="0E63AD4A">
      <w:pPr>
        <w:autoSpaceDE w:val="0"/>
        <w:autoSpaceDN w:val="0"/>
        <w:adjustRightInd w:val="0"/>
        <w:spacing w:line="240" w:lineRule="atLeast"/>
        <w:ind w:firstLine="720"/>
        <w:contextualSpacing/>
        <w:jc w:val="center"/>
        <w:rPr>
          <w:color w:val="FF0000"/>
          <w:sz w:val="20"/>
          <w:szCs w:val="20"/>
        </w:rPr>
      </w:pPr>
      <w:r>
        <w:rPr>
          <w:noProof/>
        </w:rPr>
        <w:drawing>
          <wp:inline distT="0" distB="0" distL="0" distR="0">
            <wp:extent cx="5939790" cy="4043680"/>
            <wp:effectExtent l="0" t="0" r="3810" b="13970"/>
            <wp:docPr id="1060911351" name="Chart 1">
              <a:extLst xmlns:a="http://schemas.openxmlformats.org/drawingml/2006/main">
                <a:ext xmlns:a="http://schemas.openxmlformats.org/drawingml/2006/main" uri="{FF2B5EF4-FFF2-40B4-BE49-F238E27FC236}">
                  <a16:creationId xmlns:a16="http://schemas.microsoft.com/office/drawing/2014/main" id="{E45DCC29-5999-54B8-2AB5-E323FE74F914}"/>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0"/>
              </a:graphicData>
            </a:graphic>
          </wp:inline>
        </w:drawing>
      </w:r>
    </w:p>
    <w:p w:rsidR="00636B5C" w:rsidRPr="00246E7A" w:rsidP="006F20E0" w14:paraId="140D2AEB" w14:textId="77777777">
      <w:pPr>
        <w:autoSpaceDE w:val="0"/>
        <w:autoSpaceDN w:val="0"/>
        <w:adjustRightInd w:val="0"/>
        <w:spacing w:line="240" w:lineRule="atLeast"/>
        <w:ind w:firstLine="720"/>
        <w:contextualSpacing/>
        <w:jc w:val="right"/>
        <w:rPr>
          <w:rFonts w:eastAsia="Calibri"/>
          <w:sz w:val="20"/>
          <w:szCs w:val="20"/>
          <w:lang w:eastAsia="en-US"/>
        </w:rPr>
      </w:pPr>
      <w:r w:rsidRPr="00246E7A">
        <w:rPr>
          <w:rFonts w:eastAsia="Calibri"/>
          <w:sz w:val="20"/>
          <w:szCs w:val="20"/>
          <w:lang w:eastAsia="en-US"/>
        </w:rPr>
        <w:t>Datu avots: PMLP dati</w:t>
      </w:r>
    </w:p>
    <w:p w:rsidR="00636B5C" w:rsidRPr="00246E7A" w:rsidP="006F20E0" w14:paraId="58343D41" w14:textId="5C1B1009">
      <w:pPr>
        <w:pStyle w:val="NormalWeb"/>
        <w:spacing w:before="0" w:beforeAutospacing="0" w:after="0" w:afterAutospacing="0" w:line="240" w:lineRule="atLeast"/>
        <w:ind w:firstLine="720"/>
        <w:contextualSpacing/>
        <w:jc w:val="both"/>
        <w:rPr>
          <w:sz w:val="20"/>
          <w:szCs w:val="20"/>
        </w:rPr>
      </w:pPr>
      <w:r w:rsidRPr="00246E7A">
        <w:rPr>
          <w:sz w:val="20"/>
          <w:szCs w:val="20"/>
        </w:rPr>
        <w:t xml:space="preserve">Saskaņā ar Pilsonības un migrācijas lietu pārvaldes datiem, Rēzeknes novadā </w:t>
      </w:r>
      <w:r w:rsidRPr="00246E7A" w:rsidR="00246E7A">
        <w:rPr>
          <w:sz w:val="20"/>
          <w:szCs w:val="20"/>
        </w:rPr>
        <w:t>66,51</w:t>
      </w:r>
      <w:r w:rsidRPr="00246E7A">
        <w:rPr>
          <w:sz w:val="20"/>
          <w:szCs w:val="20"/>
        </w:rPr>
        <w:t>% no iedzīvotājiem ir darbspējīgā vecumā, t.i.  no 15 līdz 64 gadiem (no tiem 45,</w:t>
      </w:r>
      <w:r w:rsidRPr="00246E7A" w:rsidR="00246E7A">
        <w:rPr>
          <w:sz w:val="20"/>
          <w:szCs w:val="20"/>
        </w:rPr>
        <w:t>52</w:t>
      </w:r>
      <w:r w:rsidRPr="00246E7A">
        <w:rPr>
          <w:sz w:val="20"/>
          <w:szCs w:val="20"/>
        </w:rPr>
        <w:t xml:space="preserve"> % sievietes un 54.</w:t>
      </w:r>
      <w:r w:rsidRPr="00246E7A" w:rsidR="00246E7A">
        <w:rPr>
          <w:sz w:val="20"/>
          <w:szCs w:val="20"/>
        </w:rPr>
        <w:t>48</w:t>
      </w:r>
      <w:r w:rsidRPr="00246E7A">
        <w:rPr>
          <w:sz w:val="20"/>
          <w:szCs w:val="20"/>
        </w:rPr>
        <w:t>% vīrieši).</w:t>
      </w:r>
    </w:p>
    <w:p w:rsidR="00636B5C" w:rsidP="006F20E0" w14:paraId="671ED62E" w14:textId="77777777">
      <w:pPr>
        <w:pStyle w:val="NormalWeb"/>
        <w:spacing w:before="0" w:beforeAutospacing="0" w:after="0" w:afterAutospacing="0" w:line="240" w:lineRule="atLeast"/>
        <w:ind w:firstLine="720"/>
        <w:contextualSpacing/>
        <w:jc w:val="center"/>
        <w:rPr>
          <w:b/>
          <w:bCs/>
          <w:color w:val="FF0000"/>
          <w:sz w:val="20"/>
          <w:szCs w:val="20"/>
        </w:rPr>
      </w:pPr>
    </w:p>
    <w:p w:rsidR="00246E7A" w:rsidP="006F20E0" w14:paraId="04E31BC2" w14:textId="77777777">
      <w:pPr>
        <w:pStyle w:val="NormalWeb"/>
        <w:spacing w:before="0" w:beforeAutospacing="0" w:after="0" w:afterAutospacing="0" w:line="240" w:lineRule="atLeast"/>
        <w:ind w:firstLine="720"/>
        <w:contextualSpacing/>
        <w:jc w:val="center"/>
        <w:rPr>
          <w:b/>
          <w:bCs/>
          <w:color w:val="FF0000"/>
          <w:sz w:val="20"/>
          <w:szCs w:val="20"/>
        </w:rPr>
      </w:pPr>
    </w:p>
    <w:p w:rsidR="00246E7A" w:rsidP="006F20E0" w14:paraId="54E92EA5" w14:textId="77777777">
      <w:pPr>
        <w:pStyle w:val="NormalWeb"/>
        <w:spacing w:before="0" w:beforeAutospacing="0" w:after="0" w:afterAutospacing="0" w:line="240" w:lineRule="atLeast"/>
        <w:ind w:firstLine="720"/>
        <w:contextualSpacing/>
        <w:jc w:val="center"/>
        <w:rPr>
          <w:b/>
          <w:bCs/>
          <w:color w:val="FF0000"/>
          <w:sz w:val="20"/>
          <w:szCs w:val="20"/>
        </w:rPr>
      </w:pPr>
    </w:p>
    <w:p w:rsidR="00246E7A" w:rsidP="006F20E0" w14:paraId="31941979" w14:textId="77777777">
      <w:pPr>
        <w:pStyle w:val="NormalWeb"/>
        <w:spacing w:before="0" w:beforeAutospacing="0" w:after="0" w:afterAutospacing="0" w:line="240" w:lineRule="atLeast"/>
        <w:ind w:firstLine="720"/>
        <w:contextualSpacing/>
        <w:jc w:val="center"/>
        <w:rPr>
          <w:b/>
          <w:bCs/>
          <w:color w:val="FF0000"/>
          <w:sz w:val="20"/>
          <w:szCs w:val="20"/>
        </w:rPr>
      </w:pPr>
    </w:p>
    <w:p w:rsidR="00246E7A" w:rsidRPr="00636B5C" w:rsidP="006F20E0" w14:paraId="7876DEC5" w14:textId="77777777">
      <w:pPr>
        <w:pStyle w:val="NormalWeb"/>
        <w:spacing w:before="0" w:beforeAutospacing="0" w:after="0" w:afterAutospacing="0" w:line="240" w:lineRule="atLeast"/>
        <w:ind w:firstLine="720"/>
        <w:contextualSpacing/>
        <w:jc w:val="center"/>
        <w:rPr>
          <w:b/>
          <w:bCs/>
          <w:color w:val="FF0000"/>
          <w:sz w:val="20"/>
          <w:szCs w:val="20"/>
        </w:rPr>
      </w:pPr>
    </w:p>
    <w:p w:rsidR="00636B5C" w:rsidRPr="00636B5C" w:rsidP="006F20E0" w14:paraId="250B8E4F" w14:textId="77777777">
      <w:pPr>
        <w:pStyle w:val="NormalWeb"/>
        <w:spacing w:before="0" w:beforeAutospacing="0" w:after="0" w:afterAutospacing="0" w:line="240" w:lineRule="atLeast"/>
        <w:ind w:firstLine="720"/>
        <w:contextualSpacing/>
        <w:jc w:val="center"/>
        <w:rPr>
          <w:b/>
          <w:bCs/>
          <w:color w:val="FF0000"/>
          <w:sz w:val="20"/>
          <w:szCs w:val="20"/>
        </w:rPr>
      </w:pPr>
    </w:p>
    <w:p w:rsidR="00636B5C" w:rsidRPr="00DE0757" w:rsidP="006F20E0" w14:paraId="475F403F" w14:textId="77777777">
      <w:pPr>
        <w:pStyle w:val="NormalWeb"/>
        <w:spacing w:before="0" w:beforeAutospacing="0" w:after="0" w:afterAutospacing="0" w:line="240" w:lineRule="atLeast"/>
        <w:ind w:firstLine="720"/>
        <w:contextualSpacing/>
        <w:jc w:val="center"/>
        <w:rPr>
          <w:b/>
          <w:bCs/>
          <w:sz w:val="20"/>
          <w:szCs w:val="20"/>
        </w:rPr>
      </w:pPr>
      <w:r w:rsidRPr="00DE0757">
        <w:rPr>
          <w:b/>
          <w:bCs/>
          <w:sz w:val="20"/>
          <w:szCs w:val="20"/>
        </w:rPr>
        <w:t>Bezdarba līmenis Rēzeknes novadā procentos</w:t>
      </w:r>
    </w:p>
    <w:p w:rsidR="00636B5C" w:rsidRPr="00636B5C" w:rsidP="006F20E0" w14:paraId="2C3078AB" w14:textId="40CA78BE">
      <w:pPr>
        <w:pStyle w:val="NormalWeb"/>
        <w:spacing w:before="0" w:beforeAutospacing="0" w:after="0" w:afterAutospacing="0" w:line="240" w:lineRule="atLeast"/>
        <w:ind w:firstLine="720"/>
        <w:contextualSpacing/>
        <w:jc w:val="center"/>
        <w:rPr>
          <w:color w:val="FF0000"/>
          <w:sz w:val="20"/>
          <w:szCs w:val="20"/>
        </w:rPr>
      </w:pPr>
      <w:r>
        <w:rPr>
          <w:noProof/>
        </w:rPr>
        <w:drawing>
          <wp:inline distT="0" distB="0" distL="0" distR="0">
            <wp:extent cx="4572000" cy="2743200"/>
            <wp:effectExtent l="0" t="0" r="0" b="0"/>
            <wp:docPr id="490118048" name="Chart 1">
              <a:extLst xmlns:a="http://schemas.openxmlformats.org/drawingml/2006/main">
                <a:ext xmlns:a="http://schemas.openxmlformats.org/drawingml/2006/main" uri="{FF2B5EF4-FFF2-40B4-BE49-F238E27FC236}">
                  <a16:creationId xmlns:a16="http://schemas.microsoft.com/office/drawing/2014/main" id="{06E5AFB4-ACB8-CE6F-62F6-240CCDF88AF5}"/>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1"/>
              </a:graphicData>
            </a:graphic>
          </wp:inline>
        </w:drawing>
      </w:r>
    </w:p>
    <w:p w:rsidR="00636B5C" w:rsidRPr="00DE0757" w:rsidP="006F20E0" w14:paraId="5A921269" w14:textId="77777777">
      <w:pPr>
        <w:autoSpaceDE w:val="0"/>
        <w:autoSpaceDN w:val="0"/>
        <w:adjustRightInd w:val="0"/>
        <w:spacing w:line="240" w:lineRule="atLeast"/>
        <w:ind w:firstLine="720"/>
        <w:contextualSpacing/>
        <w:jc w:val="right"/>
        <w:rPr>
          <w:rFonts w:eastAsia="Calibri"/>
          <w:sz w:val="20"/>
          <w:szCs w:val="20"/>
          <w:lang w:eastAsia="en-US"/>
        </w:rPr>
      </w:pPr>
      <w:r w:rsidRPr="00DE0757">
        <w:rPr>
          <w:rFonts w:eastAsia="Calibri"/>
          <w:sz w:val="20"/>
          <w:szCs w:val="20"/>
          <w:lang w:eastAsia="en-US"/>
        </w:rPr>
        <w:t xml:space="preserve">Datu </w:t>
      </w:r>
      <w:r w:rsidRPr="00DE0757">
        <w:rPr>
          <w:rFonts w:eastAsia="Calibri"/>
          <w:sz w:val="20"/>
          <w:szCs w:val="20"/>
          <w:lang w:eastAsia="en-US"/>
        </w:rPr>
        <w:t>avots: NVA publicētie dati</w:t>
      </w:r>
    </w:p>
    <w:p w:rsidR="00636B5C" w:rsidRPr="00DE0757" w:rsidP="006F20E0" w14:paraId="30D91B44" w14:textId="106DD354">
      <w:pPr>
        <w:autoSpaceDE w:val="0"/>
        <w:autoSpaceDN w:val="0"/>
        <w:adjustRightInd w:val="0"/>
        <w:spacing w:line="240" w:lineRule="atLeast"/>
        <w:ind w:firstLine="720"/>
        <w:contextualSpacing/>
        <w:jc w:val="both"/>
        <w:rPr>
          <w:rFonts w:eastAsia="Calibri"/>
          <w:sz w:val="20"/>
          <w:szCs w:val="20"/>
          <w:lang w:eastAsia="en-US"/>
        </w:rPr>
      </w:pPr>
      <w:r w:rsidRPr="00DE0757">
        <w:rPr>
          <w:rFonts w:eastAsia="Calibri"/>
          <w:sz w:val="20"/>
          <w:szCs w:val="20"/>
          <w:lang w:eastAsia="en-US"/>
        </w:rPr>
        <w:t xml:space="preserve">Vērtējot piecu gadu griezumā Rēzeknes novadā ir vērojama tendence uz bezdarba līmeņa samazināšanos. Grafikā redzams, ka Rēzeknes novadā salīdzinot ar iepriekšējo gadu bezdarba līmenis ir samazinājies par </w:t>
      </w:r>
      <w:r w:rsidRPr="00DE0757" w:rsidR="00DE0757">
        <w:rPr>
          <w:rFonts w:eastAsia="Calibri"/>
          <w:sz w:val="20"/>
          <w:szCs w:val="20"/>
          <w:lang w:eastAsia="en-US"/>
        </w:rPr>
        <w:t>1.8</w:t>
      </w:r>
      <w:r w:rsidRPr="00DE0757">
        <w:rPr>
          <w:rFonts w:eastAsia="Calibri"/>
          <w:sz w:val="20"/>
          <w:szCs w:val="20"/>
          <w:lang w:eastAsia="en-US"/>
        </w:rPr>
        <w:t xml:space="preserve"> procentpunktiem.</w:t>
      </w:r>
      <w:r w:rsidRPr="00DE0757" w:rsidR="00DE0757">
        <w:rPr>
          <w:rFonts w:eastAsia="Calibri"/>
          <w:sz w:val="20"/>
          <w:szCs w:val="20"/>
          <w:lang w:eastAsia="en-US"/>
        </w:rPr>
        <w:t xml:space="preserve"> Samazinājums skaidrojams ar straujo iedzīvotāju skaita samazināšanos pašvaldībā.</w:t>
      </w:r>
    </w:p>
    <w:p w:rsidR="00636B5C" w:rsidRPr="00DE0757" w:rsidP="006F20E0" w14:paraId="13F7C05F" w14:textId="77777777">
      <w:pPr>
        <w:pStyle w:val="NormalWeb"/>
        <w:spacing w:before="0" w:beforeAutospacing="0" w:after="0" w:afterAutospacing="0" w:line="240" w:lineRule="atLeast"/>
        <w:ind w:firstLine="720"/>
        <w:contextualSpacing/>
        <w:jc w:val="both"/>
        <w:rPr>
          <w:sz w:val="20"/>
          <w:szCs w:val="20"/>
        </w:rPr>
      </w:pPr>
      <w:r w:rsidRPr="00DE0757">
        <w:rPr>
          <w:sz w:val="20"/>
          <w:szCs w:val="20"/>
        </w:rPr>
        <w:t xml:space="preserve">Pašvaldības darbības finansiālo pamatu veido budžets, kas ir svarīgākais instruments pašvaldības autonomo funkciju izpildes nodrošināšanai, ekonomisko un sociālo vajadzību sabalansēšanai, kā arī teritorijas ilgtermiņa attīstībai. </w:t>
      </w:r>
    </w:p>
    <w:p w:rsidR="00636B5C" w:rsidRPr="00DE0757" w:rsidP="006F20E0" w14:paraId="229BA6A0" w14:textId="277702A1">
      <w:pPr>
        <w:pStyle w:val="NormalWeb"/>
        <w:spacing w:before="0" w:beforeAutospacing="0" w:after="0" w:afterAutospacing="0" w:line="240" w:lineRule="atLeast"/>
        <w:ind w:firstLine="720"/>
        <w:contextualSpacing/>
        <w:jc w:val="both"/>
        <w:rPr>
          <w:sz w:val="20"/>
          <w:szCs w:val="20"/>
        </w:rPr>
      </w:pPr>
      <w:r w:rsidRPr="00DE0757">
        <w:rPr>
          <w:rFonts w:eastAsia="Calibri"/>
          <w:sz w:val="20"/>
          <w:szCs w:val="20"/>
          <w:lang w:eastAsia="en-US"/>
        </w:rPr>
        <w:t>Sastādot 202</w:t>
      </w:r>
      <w:r w:rsidRPr="00DE0757" w:rsidR="00DE0757">
        <w:rPr>
          <w:rFonts w:eastAsia="Calibri"/>
          <w:sz w:val="20"/>
          <w:szCs w:val="20"/>
          <w:lang w:eastAsia="en-US"/>
        </w:rPr>
        <w:t>5</w:t>
      </w:r>
      <w:r w:rsidRPr="00DE0757">
        <w:rPr>
          <w:rFonts w:eastAsia="Calibri"/>
          <w:sz w:val="20"/>
          <w:szCs w:val="20"/>
          <w:lang w:eastAsia="en-US"/>
        </w:rPr>
        <w:t>. gada budžeta plānu pieejamie resursi tika izvietoti atbilstoši novada attīstības prioritātēm. Par budžeta prioritāro jomu 202</w:t>
      </w:r>
      <w:r w:rsidRPr="00DE0757" w:rsidR="00DE0757">
        <w:rPr>
          <w:rFonts w:eastAsia="Calibri"/>
          <w:sz w:val="20"/>
          <w:szCs w:val="20"/>
          <w:lang w:eastAsia="en-US"/>
        </w:rPr>
        <w:t>5</w:t>
      </w:r>
      <w:r w:rsidRPr="00DE0757">
        <w:rPr>
          <w:rFonts w:eastAsia="Calibri"/>
          <w:sz w:val="20"/>
          <w:szCs w:val="20"/>
          <w:lang w:eastAsia="en-US"/>
        </w:rPr>
        <w:t>. gadā ir noteikta izglītība un sabiedriskās infrastruktūras uzlabošana, kā arī spēja nodrošināt pašvaldības finanšu stabilitāti ilgtermiņā. Budžets tiek plānots ar piesardzības principu, tāpēc budžeta plāns nav balstīts uz nereāliem ieņēmumiem, kuru būtība varētu tikt apšaubīta un kuru neizpildes gadījumā būtiski tiktu kavēta pašvaldības funkciju izpilde.</w:t>
      </w:r>
    </w:p>
    <w:p w:rsidR="00636B5C" w:rsidRPr="00DE0757" w:rsidP="006F20E0" w14:paraId="4853FEBF" w14:textId="4705806F">
      <w:pPr>
        <w:autoSpaceDE w:val="0"/>
        <w:autoSpaceDN w:val="0"/>
        <w:adjustRightInd w:val="0"/>
        <w:spacing w:line="240" w:lineRule="atLeast"/>
        <w:ind w:firstLine="720"/>
        <w:contextualSpacing/>
        <w:jc w:val="both"/>
        <w:rPr>
          <w:rFonts w:eastAsia="Calibri"/>
          <w:sz w:val="20"/>
          <w:szCs w:val="20"/>
          <w:lang w:eastAsia="en-US"/>
        </w:rPr>
      </w:pPr>
      <w:r w:rsidRPr="00DE0757">
        <w:rPr>
          <w:rFonts w:eastAsia="Calibri"/>
          <w:sz w:val="20"/>
          <w:szCs w:val="20"/>
          <w:lang w:eastAsia="en-US"/>
        </w:rPr>
        <w:t>Rēzeknes novada pašvaldības budžets 202</w:t>
      </w:r>
      <w:r w:rsidRPr="00DE0757" w:rsidR="00DE0757">
        <w:rPr>
          <w:rFonts w:eastAsia="Calibri"/>
          <w:sz w:val="20"/>
          <w:szCs w:val="20"/>
          <w:lang w:eastAsia="en-US"/>
        </w:rPr>
        <w:t>5</w:t>
      </w:r>
      <w:r w:rsidRPr="00DE0757">
        <w:rPr>
          <w:rFonts w:eastAsia="Calibri"/>
          <w:sz w:val="20"/>
          <w:szCs w:val="20"/>
          <w:lang w:eastAsia="en-US"/>
        </w:rPr>
        <w:t xml:space="preserve">. gadam sastāv no pamatbudžeta, ko veido attiecīgas ieņēmumu un izdevumu daļas. Pašvaldība ir ņēmusi vērā visu nozaru intereses un centusies sabalansēt pieejamos finanšu līdzekļus tā, lai nodrošinātu uzlabojumus sabiedrībai svarīgās jomās. Finanšu resursu izlietojuma plāna projekti ir saskaņoti ar attiecīgo iestāžu un struktūrvienību vadītājiem. </w:t>
      </w:r>
    </w:p>
    <w:p w:rsidR="00636B5C" w:rsidRPr="00DE0757" w:rsidP="006F20E0" w14:paraId="5960CF2F" w14:textId="55C5670D">
      <w:pPr>
        <w:autoSpaceDE w:val="0"/>
        <w:autoSpaceDN w:val="0"/>
        <w:adjustRightInd w:val="0"/>
        <w:spacing w:line="240" w:lineRule="atLeast"/>
        <w:ind w:firstLine="720"/>
        <w:contextualSpacing/>
        <w:jc w:val="both"/>
        <w:rPr>
          <w:rFonts w:eastAsia="Calibri"/>
          <w:sz w:val="20"/>
          <w:szCs w:val="20"/>
          <w:lang w:eastAsia="en-US"/>
        </w:rPr>
      </w:pPr>
      <w:r w:rsidRPr="00DE0757">
        <w:rPr>
          <w:rFonts w:eastAsia="Calibri"/>
          <w:sz w:val="20"/>
          <w:szCs w:val="20"/>
          <w:lang w:eastAsia="en-US"/>
        </w:rPr>
        <w:t xml:space="preserve">Skaitliskā informācija par Rēzeknes novada pašvaldības budžeta ieņēmumiem, izdevumiem, aizņēmumiem un galvojumiem ir norādīta Rēzeknes novada domes </w:t>
      </w:r>
      <w:r w:rsidRPr="00DE0757" w:rsidR="00DE0757">
        <w:rPr>
          <w:rFonts w:eastAsia="Calibri"/>
          <w:sz w:val="20"/>
          <w:szCs w:val="20"/>
          <w:lang w:eastAsia="en-US"/>
        </w:rPr>
        <w:t>30</w:t>
      </w:r>
      <w:r w:rsidRPr="00DE0757">
        <w:rPr>
          <w:rFonts w:eastAsia="Calibri"/>
          <w:sz w:val="20"/>
          <w:szCs w:val="20"/>
          <w:lang w:eastAsia="en-US"/>
        </w:rPr>
        <w:t xml:space="preserve">. </w:t>
      </w:r>
      <w:r w:rsidRPr="00DE0757" w:rsidR="00DE0757">
        <w:rPr>
          <w:rFonts w:eastAsia="Calibri"/>
          <w:sz w:val="20"/>
          <w:szCs w:val="20"/>
          <w:lang w:eastAsia="en-US"/>
        </w:rPr>
        <w:t>janvāra</w:t>
      </w:r>
      <w:r w:rsidRPr="00DE0757">
        <w:rPr>
          <w:rFonts w:eastAsia="Calibri"/>
          <w:sz w:val="20"/>
          <w:szCs w:val="20"/>
          <w:lang w:eastAsia="en-US"/>
        </w:rPr>
        <w:t xml:space="preserve"> saistošo noteikumu Nr. </w:t>
      </w:r>
      <w:r w:rsidRPr="00DE0757" w:rsidR="00DE0757">
        <w:rPr>
          <w:rFonts w:eastAsia="Calibri"/>
          <w:sz w:val="20"/>
          <w:szCs w:val="20"/>
          <w:lang w:eastAsia="en-US"/>
        </w:rPr>
        <w:t>50</w:t>
      </w:r>
      <w:r w:rsidRPr="00DE0757">
        <w:rPr>
          <w:rFonts w:eastAsia="Calibri"/>
          <w:sz w:val="20"/>
          <w:szCs w:val="20"/>
          <w:lang w:eastAsia="en-US"/>
        </w:rPr>
        <w:t xml:space="preserve"> „Par Rēzeknes novada pašvaldības budžetu 202</w:t>
      </w:r>
      <w:r w:rsidRPr="00DE0757" w:rsidR="00DE0757">
        <w:rPr>
          <w:rFonts w:eastAsia="Calibri"/>
          <w:sz w:val="20"/>
          <w:szCs w:val="20"/>
          <w:lang w:eastAsia="en-US"/>
        </w:rPr>
        <w:t>5</w:t>
      </w:r>
      <w:r w:rsidRPr="00DE0757">
        <w:rPr>
          <w:rFonts w:eastAsia="Calibri"/>
          <w:sz w:val="20"/>
          <w:szCs w:val="20"/>
          <w:lang w:eastAsia="en-US"/>
        </w:rPr>
        <w:t xml:space="preserve">. gadam” 1. un 2. pielikumā. Pašvaldības budžeta izdevumi ir plānoti saskaņojot tos ar </w:t>
      </w:r>
      <w:r w:rsidRPr="00DE0757">
        <w:rPr>
          <w:sz w:val="20"/>
          <w:szCs w:val="20"/>
        </w:rPr>
        <w:t>Rēzeknes novada un Rēzeknes valstspilsētas Attīstības programmu 2023. – 2029. gadam.</w:t>
      </w:r>
    </w:p>
    <w:p w:rsidR="00636B5C" w:rsidRPr="00636B5C" w:rsidP="006F20E0" w14:paraId="71F92A31" w14:textId="77777777">
      <w:pPr>
        <w:spacing w:line="240" w:lineRule="atLeast"/>
        <w:ind w:firstLine="720"/>
        <w:contextualSpacing/>
        <w:jc w:val="both"/>
        <w:rPr>
          <w:rFonts w:eastAsia="Calibri"/>
          <w:color w:val="FF0000"/>
          <w:sz w:val="20"/>
          <w:szCs w:val="20"/>
          <w:lang w:eastAsia="en-US"/>
        </w:rPr>
      </w:pPr>
    </w:p>
    <w:p w:rsidR="00636B5C" w:rsidRPr="00636B5C" w:rsidP="006F20E0" w14:paraId="7ED49E1F" w14:textId="77777777">
      <w:pPr>
        <w:spacing w:line="240" w:lineRule="atLeast"/>
        <w:ind w:firstLine="720"/>
        <w:contextualSpacing/>
        <w:jc w:val="both"/>
        <w:rPr>
          <w:rFonts w:eastAsia="Calibri"/>
          <w:color w:val="FF0000"/>
          <w:sz w:val="20"/>
          <w:szCs w:val="20"/>
          <w:lang w:eastAsia="en-US"/>
        </w:rPr>
      </w:pPr>
    </w:p>
    <w:p w:rsidR="00636B5C" w:rsidRPr="00636B5C" w:rsidP="006F20E0" w14:paraId="3DC30313" w14:textId="77777777">
      <w:pPr>
        <w:spacing w:line="240" w:lineRule="atLeast"/>
        <w:contextualSpacing/>
        <w:jc w:val="center"/>
        <w:rPr>
          <w:rFonts w:eastAsia="Calibri"/>
          <w:b/>
          <w:color w:val="FF0000"/>
          <w:sz w:val="20"/>
          <w:szCs w:val="20"/>
          <w:lang w:eastAsia="en-US"/>
        </w:rPr>
      </w:pPr>
    </w:p>
    <w:p w:rsidR="00636B5C" w:rsidRPr="007F24CB" w:rsidP="006F20E0" w14:paraId="7D59B475" w14:textId="77777777">
      <w:pPr>
        <w:spacing w:line="240" w:lineRule="atLeast"/>
        <w:contextualSpacing/>
        <w:jc w:val="center"/>
        <w:rPr>
          <w:rFonts w:eastAsia="Calibri"/>
          <w:b/>
          <w:sz w:val="20"/>
          <w:szCs w:val="20"/>
          <w:lang w:eastAsia="en-US"/>
        </w:rPr>
      </w:pPr>
      <w:r w:rsidRPr="007F24CB">
        <w:rPr>
          <w:rFonts w:eastAsia="Calibri"/>
          <w:b/>
          <w:sz w:val="20"/>
          <w:szCs w:val="20"/>
          <w:lang w:eastAsia="en-US"/>
        </w:rPr>
        <w:t>Ieņēmumi</w:t>
      </w:r>
    </w:p>
    <w:p w:rsidR="00636B5C" w:rsidRPr="007F24CB" w:rsidP="006F20E0" w14:paraId="756CF46C" w14:textId="361AAA82">
      <w:pPr>
        <w:spacing w:line="240" w:lineRule="atLeast"/>
        <w:ind w:firstLine="720"/>
        <w:contextualSpacing/>
        <w:jc w:val="both"/>
        <w:rPr>
          <w:rFonts w:eastAsia="Calibri"/>
          <w:sz w:val="20"/>
          <w:szCs w:val="20"/>
          <w:lang w:eastAsia="en-US"/>
        </w:rPr>
      </w:pPr>
      <w:r w:rsidRPr="007F24CB">
        <w:rPr>
          <w:rFonts w:eastAsia="Calibri"/>
          <w:sz w:val="20"/>
          <w:szCs w:val="20"/>
          <w:lang w:eastAsia="en-US"/>
        </w:rPr>
        <w:t xml:space="preserve">Budžeta ieņēmumi plānoti EUR </w:t>
      </w:r>
      <w:r w:rsidRPr="007F24CB" w:rsidR="007F24CB">
        <w:rPr>
          <w:rFonts w:eastAsia="Calibri"/>
          <w:sz w:val="20"/>
          <w:szCs w:val="20"/>
          <w:lang w:eastAsia="en-US"/>
        </w:rPr>
        <w:t>53 193 4</w:t>
      </w:r>
      <w:r w:rsidR="008807D2">
        <w:rPr>
          <w:rFonts w:eastAsia="Calibri"/>
          <w:sz w:val="20"/>
          <w:szCs w:val="20"/>
          <w:lang w:eastAsia="en-US"/>
        </w:rPr>
        <w:t>55</w:t>
      </w:r>
      <w:r w:rsidRPr="007F24CB">
        <w:rPr>
          <w:rFonts w:eastAsia="Calibri"/>
          <w:sz w:val="20"/>
          <w:szCs w:val="20"/>
          <w:lang w:eastAsia="en-US"/>
        </w:rPr>
        <w:t xml:space="preserve"> kopsummā un tos veido nodokļu ieņēmumi, nenodokļu ieņēmumi (valsts un pašvaldību nodevām, sodiem un sankcijām u.c.), pārējie nenodokļu ieņēmumi (no pašvaldības īpašuma pārdošanas, zvejas tiesību nomas u.c.), ieņēmumi no iestāžu sniegtajiem maksas pakalpojumiem un citi pašu ieņēmumi, kā arī transferti (mērķdotācijas, kas tiek saņemtas no atsevišķām ministrijām un ir paredzētas galvenokārt pedagogu darba samaksai, kā arī ES fondu finansēto projektu īstenošanai un pašvaldību maksājumiem par izglītīb</w:t>
      </w:r>
      <w:r w:rsidRPr="007F24CB">
        <w:rPr>
          <w:rFonts w:eastAsia="Calibri"/>
          <w:sz w:val="20"/>
          <w:szCs w:val="20"/>
          <w:lang w:eastAsia="en-US"/>
        </w:rPr>
        <w:t>as pakalpojumiem).</w:t>
      </w:r>
    </w:p>
    <w:p w:rsidR="00636B5C" w:rsidRPr="007F24CB" w:rsidP="006F20E0" w14:paraId="6FE9C041" w14:textId="7C3348EB">
      <w:pPr>
        <w:spacing w:line="240" w:lineRule="atLeast"/>
        <w:ind w:firstLine="720"/>
        <w:contextualSpacing/>
        <w:jc w:val="both"/>
        <w:rPr>
          <w:rFonts w:eastAsia="Calibri"/>
          <w:sz w:val="20"/>
          <w:szCs w:val="20"/>
          <w:lang w:eastAsia="en-US"/>
        </w:rPr>
      </w:pPr>
      <w:r w:rsidRPr="007F24CB">
        <w:rPr>
          <w:rFonts w:eastAsia="Calibri"/>
          <w:sz w:val="20"/>
          <w:szCs w:val="20"/>
          <w:lang w:eastAsia="en-US"/>
        </w:rPr>
        <w:t>Pašvaldības pamatbudžeta kontu atlikums uz 202</w:t>
      </w:r>
      <w:r w:rsidRPr="007F24CB" w:rsidR="007F24CB">
        <w:rPr>
          <w:rFonts w:eastAsia="Calibri"/>
          <w:sz w:val="20"/>
          <w:szCs w:val="20"/>
          <w:lang w:eastAsia="en-US"/>
        </w:rPr>
        <w:t>5</w:t>
      </w:r>
      <w:r w:rsidRPr="007F24CB">
        <w:rPr>
          <w:rFonts w:eastAsia="Calibri"/>
          <w:sz w:val="20"/>
          <w:szCs w:val="20"/>
          <w:lang w:eastAsia="en-US"/>
        </w:rPr>
        <w:t xml:space="preserve">. gada 1. janvāri ir EUR </w:t>
      </w:r>
      <w:r w:rsidRPr="007F24CB" w:rsidR="007F24CB">
        <w:rPr>
          <w:rFonts w:eastAsia="Calibri"/>
          <w:sz w:val="20"/>
          <w:szCs w:val="20"/>
          <w:lang w:eastAsia="en-US"/>
        </w:rPr>
        <w:t>11 604 633</w:t>
      </w:r>
      <w:r w:rsidRPr="007F24CB">
        <w:rPr>
          <w:rFonts w:eastAsia="Calibri"/>
          <w:sz w:val="20"/>
          <w:szCs w:val="20"/>
          <w:lang w:eastAsia="en-US"/>
        </w:rPr>
        <w:t>.</w:t>
      </w:r>
    </w:p>
    <w:p w:rsidR="00636B5C" w:rsidRPr="008807D2" w:rsidP="006F20E0" w14:paraId="7581628A" w14:textId="6B96ACF0">
      <w:pPr>
        <w:spacing w:line="240" w:lineRule="atLeast"/>
        <w:ind w:firstLine="720"/>
        <w:contextualSpacing/>
        <w:jc w:val="center"/>
        <w:rPr>
          <w:rFonts w:eastAsia="Calibri"/>
          <w:b/>
          <w:bCs/>
          <w:sz w:val="20"/>
          <w:szCs w:val="20"/>
          <w:lang w:eastAsia="en-US"/>
        </w:rPr>
      </w:pPr>
      <w:r w:rsidRPr="008807D2">
        <w:rPr>
          <w:rFonts w:eastAsia="Calibri"/>
          <w:b/>
          <w:bCs/>
          <w:sz w:val="20"/>
          <w:szCs w:val="20"/>
          <w:lang w:eastAsia="en-US"/>
        </w:rPr>
        <w:t>Ieņēmumi – 202</w:t>
      </w:r>
      <w:r w:rsidRPr="008807D2" w:rsidR="001A0B29">
        <w:rPr>
          <w:rFonts w:eastAsia="Calibri"/>
          <w:b/>
          <w:bCs/>
          <w:sz w:val="20"/>
          <w:szCs w:val="20"/>
          <w:lang w:eastAsia="en-US"/>
        </w:rPr>
        <w:t>5</w:t>
      </w:r>
      <w:r w:rsidRPr="008807D2">
        <w:rPr>
          <w:rFonts w:eastAsia="Calibri"/>
          <w:b/>
          <w:bCs/>
          <w:sz w:val="20"/>
          <w:szCs w:val="20"/>
          <w:lang w:eastAsia="en-US"/>
        </w:rPr>
        <w:t>. gada plāns</w:t>
      </w:r>
    </w:p>
    <w:p w:rsidR="00636B5C" w:rsidRPr="00636B5C" w:rsidP="006F20E0" w14:paraId="7FAE3BBE" w14:textId="4E517C96">
      <w:pPr>
        <w:spacing w:line="240" w:lineRule="atLeast"/>
        <w:ind w:firstLine="720"/>
        <w:contextualSpacing/>
        <w:jc w:val="both"/>
        <w:rPr>
          <w:color w:val="FF0000"/>
          <w:sz w:val="20"/>
          <w:szCs w:val="20"/>
        </w:rPr>
      </w:pPr>
      <w:r>
        <w:rPr>
          <w:noProof/>
        </w:rPr>
        <w:drawing>
          <wp:inline distT="0" distB="0" distL="0" distR="0">
            <wp:extent cx="5939790" cy="4220210"/>
            <wp:effectExtent l="0" t="0" r="3810" b="8890"/>
            <wp:docPr id="142564833" name="Chart 1">
              <a:extLst xmlns:a="http://schemas.openxmlformats.org/drawingml/2006/main">
                <a:ext xmlns:a="http://schemas.openxmlformats.org/drawingml/2006/main" uri="{FF2B5EF4-FFF2-40B4-BE49-F238E27FC236}">
                  <a16:creationId xmlns:a16="http://schemas.microsoft.com/office/drawing/2014/main" id="{E45DCC29-5999-54B8-2AB5-E323FE74F914}"/>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2"/>
              </a:graphicData>
            </a:graphic>
          </wp:inline>
        </w:drawing>
      </w:r>
    </w:p>
    <w:p w:rsidR="00636B5C" w:rsidRPr="001A0B29" w:rsidP="006F20E0" w14:paraId="5A36F2B7" w14:textId="17F054CD">
      <w:pPr>
        <w:spacing w:line="240" w:lineRule="atLeast"/>
        <w:ind w:firstLine="720"/>
        <w:contextualSpacing/>
        <w:jc w:val="both"/>
        <w:rPr>
          <w:sz w:val="20"/>
          <w:szCs w:val="20"/>
        </w:rPr>
      </w:pPr>
      <w:r w:rsidRPr="001A0B29">
        <w:rPr>
          <w:sz w:val="20"/>
          <w:szCs w:val="20"/>
        </w:rPr>
        <w:t>Iedzīvotāju ienākuma nodokļa (IIN) ieņēmumi Rēzeknes novada pašvaldībai ir viens no būtiskākajiem 202</w:t>
      </w:r>
      <w:r w:rsidRPr="001A0B29" w:rsidR="001A0B29">
        <w:rPr>
          <w:sz w:val="20"/>
          <w:szCs w:val="20"/>
        </w:rPr>
        <w:t>5</w:t>
      </w:r>
      <w:r w:rsidRPr="001A0B29">
        <w:rPr>
          <w:sz w:val="20"/>
          <w:szCs w:val="20"/>
        </w:rPr>
        <w:t>. gada pamatbudžeta ieņēmumu avotiem. IIN prognoze 202</w:t>
      </w:r>
      <w:r w:rsidR="001A0B29">
        <w:rPr>
          <w:sz w:val="20"/>
          <w:szCs w:val="20"/>
        </w:rPr>
        <w:t>5</w:t>
      </w:r>
      <w:r w:rsidRPr="001A0B29">
        <w:rPr>
          <w:sz w:val="20"/>
          <w:szCs w:val="20"/>
        </w:rPr>
        <w:t xml:space="preserve">. gadam ir EUR </w:t>
      </w:r>
      <w:r w:rsidRPr="001A0B29" w:rsidR="001A0B29">
        <w:rPr>
          <w:sz w:val="20"/>
          <w:szCs w:val="20"/>
        </w:rPr>
        <w:t>15 678 640</w:t>
      </w:r>
      <w:r w:rsidRPr="001A0B29">
        <w:rPr>
          <w:sz w:val="20"/>
          <w:szCs w:val="20"/>
        </w:rPr>
        <w:t xml:space="preserve"> (no kopējiem ieņēmumiem sastāda </w:t>
      </w:r>
      <w:r w:rsidRPr="001A0B29" w:rsidR="001A0B29">
        <w:rPr>
          <w:sz w:val="20"/>
          <w:szCs w:val="20"/>
        </w:rPr>
        <w:t>29.47</w:t>
      </w:r>
      <w:r w:rsidRPr="001A0B29">
        <w:rPr>
          <w:sz w:val="20"/>
          <w:szCs w:val="20"/>
        </w:rPr>
        <w:t xml:space="preserve">%). </w:t>
      </w:r>
    </w:p>
    <w:p w:rsidR="00636B5C" w:rsidRPr="001A0B29" w:rsidP="006F20E0" w14:paraId="090A38B7" w14:textId="7A3532DB">
      <w:pPr>
        <w:spacing w:line="240" w:lineRule="atLeast"/>
        <w:ind w:firstLine="720"/>
        <w:contextualSpacing/>
        <w:jc w:val="both"/>
        <w:rPr>
          <w:sz w:val="20"/>
          <w:szCs w:val="20"/>
        </w:rPr>
      </w:pPr>
      <w:r w:rsidRPr="001A0B29">
        <w:rPr>
          <w:sz w:val="20"/>
          <w:szCs w:val="20"/>
        </w:rPr>
        <w:t>Nekustamā īpašuma nodokļa (NĪN) kārtējā saimniec</w:t>
      </w:r>
      <w:r w:rsidRPr="001A0B29" w:rsidR="001A0B29">
        <w:rPr>
          <w:sz w:val="20"/>
          <w:szCs w:val="20"/>
        </w:rPr>
        <w:t>is</w:t>
      </w:r>
      <w:r w:rsidRPr="001A0B29">
        <w:rPr>
          <w:sz w:val="20"/>
          <w:szCs w:val="20"/>
        </w:rPr>
        <w:t>kā gada ieņēmumi, iekļaujot iepriekšējo gadu parādus un nokavējuma naudu par termiņā nesamaksāto nekustamā īpašuma nodokli par zemi, ēkām, inženierbūvēm un mājokļiem plānoti 1 </w:t>
      </w:r>
      <w:r w:rsidRPr="001A0B29" w:rsidR="001A0B29">
        <w:rPr>
          <w:sz w:val="20"/>
          <w:szCs w:val="20"/>
        </w:rPr>
        <w:t xml:space="preserve">505 298 </w:t>
      </w:r>
      <w:r w:rsidRPr="001A0B29">
        <w:rPr>
          <w:sz w:val="20"/>
          <w:szCs w:val="20"/>
        </w:rPr>
        <w:t>EUR apmērā. 202</w:t>
      </w:r>
      <w:r w:rsidRPr="001A0B29" w:rsidR="001A0B29">
        <w:rPr>
          <w:sz w:val="20"/>
          <w:szCs w:val="20"/>
        </w:rPr>
        <w:t>5</w:t>
      </w:r>
      <w:r w:rsidRPr="001A0B29">
        <w:rPr>
          <w:sz w:val="20"/>
          <w:szCs w:val="20"/>
        </w:rPr>
        <w:t xml:space="preserve">. gadā tie sastāda </w:t>
      </w:r>
      <w:r w:rsidRPr="001A0B29" w:rsidR="001A0B29">
        <w:rPr>
          <w:sz w:val="20"/>
          <w:szCs w:val="20"/>
        </w:rPr>
        <w:t>2.83</w:t>
      </w:r>
      <w:r w:rsidRPr="001A0B29">
        <w:rPr>
          <w:sz w:val="20"/>
          <w:szCs w:val="20"/>
        </w:rPr>
        <w:t>% no kopējiem pašvaldības ieņēmumiem.</w:t>
      </w:r>
    </w:p>
    <w:p w:rsidR="00636B5C" w:rsidRPr="001A0B29" w:rsidP="006F20E0" w14:paraId="682E7CF9" w14:textId="532639E6">
      <w:pPr>
        <w:spacing w:line="240" w:lineRule="atLeast"/>
        <w:ind w:firstLine="720"/>
        <w:contextualSpacing/>
        <w:jc w:val="both"/>
        <w:rPr>
          <w:sz w:val="20"/>
          <w:szCs w:val="20"/>
        </w:rPr>
      </w:pPr>
      <w:r w:rsidRPr="001A0B29">
        <w:rPr>
          <w:sz w:val="20"/>
          <w:szCs w:val="20"/>
        </w:rPr>
        <w:t>Pamatojoties uz ieņēmumu dinamiku un prognozēm nenodokļu ieņēmumi (ieņēmumi no uzņēmējdarbības un īpašuma, valsts (pašvaldību) nodevas un kancelejas nodevas, naudas sodi un sankcijas, pārējie nenodokļu ieņēmumi, ieņēmumi no valsts (pašvaldību) īpašuma iznomāšanas, pārdošanas un no nodokļu pamatparāda kapitalizācijas) 202</w:t>
      </w:r>
      <w:r w:rsidRPr="001A0B29" w:rsidR="001A0B29">
        <w:rPr>
          <w:sz w:val="20"/>
          <w:szCs w:val="20"/>
        </w:rPr>
        <w:t>5</w:t>
      </w:r>
      <w:r w:rsidRPr="001A0B29">
        <w:rPr>
          <w:sz w:val="20"/>
          <w:szCs w:val="20"/>
        </w:rPr>
        <w:t xml:space="preserve">. gadā tiek plānoti EUR </w:t>
      </w:r>
      <w:r w:rsidRPr="001A0B29" w:rsidR="001A0B29">
        <w:rPr>
          <w:sz w:val="20"/>
          <w:szCs w:val="20"/>
        </w:rPr>
        <w:t>1 041 804</w:t>
      </w:r>
      <w:r w:rsidRPr="001A0B29">
        <w:rPr>
          <w:sz w:val="20"/>
          <w:szCs w:val="20"/>
        </w:rPr>
        <w:t xml:space="preserve"> apmērā (</w:t>
      </w:r>
      <w:r w:rsidRPr="001A0B29" w:rsidR="001A0B29">
        <w:rPr>
          <w:sz w:val="20"/>
          <w:szCs w:val="20"/>
        </w:rPr>
        <w:t>1.96</w:t>
      </w:r>
      <w:r w:rsidRPr="001A0B29">
        <w:rPr>
          <w:sz w:val="20"/>
          <w:szCs w:val="20"/>
        </w:rPr>
        <w:t xml:space="preserve">% no kopējiem pašvaldības ieņēmumiem). </w:t>
      </w:r>
    </w:p>
    <w:p w:rsidR="00636B5C" w:rsidRPr="001A0B29" w:rsidP="006F20E0" w14:paraId="5A7D5B02" w14:textId="4A337144">
      <w:pPr>
        <w:spacing w:line="240" w:lineRule="atLeast"/>
        <w:ind w:firstLine="720"/>
        <w:contextualSpacing/>
        <w:jc w:val="both"/>
        <w:rPr>
          <w:sz w:val="20"/>
          <w:szCs w:val="20"/>
        </w:rPr>
      </w:pPr>
      <w:r w:rsidRPr="001A0B29">
        <w:rPr>
          <w:sz w:val="20"/>
          <w:szCs w:val="20"/>
        </w:rPr>
        <w:t>Dabas resursu nodokļa ieņēmumi 202</w:t>
      </w:r>
      <w:r w:rsidRPr="001A0B29" w:rsidR="001A0B29">
        <w:rPr>
          <w:sz w:val="20"/>
          <w:szCs w:val="20"/>
        </w:rPr>
        <w:t>5</w:t>
      </w:r>
      <w:r w:rsidRPr="001A0B29">
        <w:rPr>
          <w:sz w:val="20"/>
          <w:szCs w:val="20"/>
        </w:rPr>
        <w:t xml:space="preserve">. gadā tiek plānoti EUR </w:t>
      </w:r>
      <w:r w:rsidRPr="001A0B29" w:rsidR="001A0B29">
        <w:rPr>
          <w:sz w:val="20"/>
          <w:szCs w:val="20"/>
        </w:rPr>
        <w:t>30</w:t>
      </w:r>
      <w:r w:rsidRPr="001A0B29">
        <w:rPr>
          <w:sz w:val="20"/>
          <w:szCs w:val="20"/>
        </w:rPr>
        <w:t>0000 apmērā, un tie sastāda 0.5</w:t>
      </w:r>
      <w:r w:rsidRPr="001A0B29" w:rsidR="001A0B29">
        <w:rPr>
          <w:sz w:val="20"/>
          <w:szCs w:val="20"/>
        </w:rPr>
        <w:t>6</w:t>
      </w:r>
      <w:r w:rsidRPr="001A0B29">
        <w:rPr>
          <w:sz w:val="20"/>
          <w:szCs w:val="20"/>
        </w:rPr>
        <w:t xml:space="preserve"> % no kopējiem pamatbudžeta ieņēmumiem.</w:t>
      </w:r>
    </w:p>
    <w:p w:rsidR="00636B5C" w:rsidRPr="00F53313" w:rsidP="006F20E0" w14:paraId="161953EA" w14:textId="4920E947">
      <w:pPr>
        <w:spacing w:line="240" w:lineRule="atLeast"/>
        <w:ind w:firstLine="720"/>
        <w:contextualSpacing/>
        <w:jc w:val="both"/>
        <w:rPr>
          <w:sz w:val="20"/>
          <w:szCs w:val="20"/>
        </w:rPr>
      </w:pPr>
      <w:r w:rsidRPr="00F53313">
        <w:rPr>
          <w:sz w:val="20"/>
          <w:szCs w:val="20"/>
        </w:rPr>
        <w:t>Dotācija no pašvaldību izlīdzināšanas fonda 202</w:t>
      </w:r>
      <w:r w:rsidRPr="00F53313" w:rsidR="001A0B29">
        <w:rPr>
          <w:sz w:val="20"/>
          <w:szCs w:val="20"/>
        </w:rPr>
        <w:t>5</w:t>
      </w:r>
      <w:r w:rsidRPr="00F53313">
        <w:rPr>
          <w:sz w:val="20"/>
          <w:szCs w:val="20"/>
        </w:rPr>
        <w:t xml:space="preserve">. gadā plānota EUR </w:t>
      </w:r>
      <w:r w:rsidRPr="00F53313" w:rsidR="001A0B29">
        <w:rPr>
          <w:sz w:val="20"/>
          <w:szCs w:val="20"/>
        </w:rPr>
        <w:t>12 033 160</w:t>
      </w:r>
      <w:r w:rsidRPr="00F53313">
        <w:rPr>
          <w:sz w:val="20"/>
          <w:szCs w:val="20"/>
        </w:rPr>
        <w:t xml:space="preserve">, kas no kopējiem pamatbudžeta ieņēmumiem veido </w:t>
      </w:r>
      <w:r w:rsidRPr="00F53313" w:rsidR="00F53313">
        <w:rPr>
          <w:sz w:val="20"/>
          <w:szCs w:val="20"/>
        </w:rPr>
        <w:t>22.62</w:t>
      </w:r>
      <w:r w:rsidRPr="00F53313">
        <w:rPr>
          <w:sz w:val="20"/>
          <w:szCs w:val="20"/>
        </w:rPr>
        <w:t>%.</w:t>
      </w:r>
    </w:p>
    <w:p w:rsidR="00636B5C" w:rsidRPr="00636B5C" w:rsidP="006F20E0" w14:paraId="64B4F8F8" w14:textId="76792DBA">
      <w:pPr>
        <w:spacing w:line="240" w:lineRule="atLeast"/>
        <w:contextualSpacing/>
        <w:jc w:val="both"/>
        <w:rPr>
          <w:color w:val="FF0000"/>
          <w:sz w:val="20"/>
          <w:szCs w:val="20"/>
        </w:rPr>
      </w:pPr>
      <w:r w:rsidRPr="00636B5C">
        <w:rPr>
          <w:color w:val="FF0000"/>
          <w:sz w:val="20"/>
          <w:szCs w:val="20"/>
        </w:rPr>
        <w:tab/>
      </w:r>
      <w:r w:rsidRPr="00F53313">
        <w:rPr>
          <w:sz w:val="20"/>
          <w:szCs w:val="20"/>
        </w:rPr>
        <w:t xml:space="preserve">Rēzeknes novada pašvaldības ieņēmumu plānā </w:t>
      </w:r>
      <w:r w:rsidRPr="00F53313">
        <w:rPr>
          <w:sz w:val="20"/>
          <w:szCs w:val="20"/>
        </w:rPr>
        <w:t>mērķdotācijas izglītības funkciju nodrošināšanai 202</w:t>
      </w:r>
      <w:r w:rsidRPr="00F53313" w:rsidR="00F53313">
        <w:rPr>
          <w:sz w:val="20"/>
          <w:szCs w:val="20"/>
        </w:rPr>
        <w:t>5</w:t>
      </w:r>
      <w:r w:rsidRPr="00F53313">
        <w:rPr>
          <w:sz w:val="20"/>
          <w:szCs w:val="20"/>
        </w:rPr>
        <w:t xml:space="preserve">. gadā plānotas EUR </w:t>
      </w:r>
      <w:r w:rsidRPr="00F53313" w:rsidR="00F53313">
        <w:rPr>
          <w:sz w:val="20"/>
          <w:szCs w:val="20"/>
        </w:rPr>
        <w:t>5 748 709</w:t>
      </w:r>
      <w:r w:rsidRPr="00F53313">
        <w:rPr>
          <w:sz w:val="20"/>
          <w:szCs w:val="20"/>
        </w:rPr>
        <w:t xml:space="preserve">. Mērķdotācija izglītības asistentu pakalpojumu nodrošināšanai EUR 41 </w:t>
      </w:r>
      <w:r w:rsidRPr="00F53313" w:rsidR="00F53313">
        <w:rPr>
          <w:sz w:val="20"/>
          <w:szCs w:val="20"/>
        </w:rPr>
        <w:t>402</w:t>
      </w:r>
      <w:r w:rsidRPr="00F53313">
        <w:rPr>
          <w:sz w:val="20"/>
          <w:szCs w:val="20"/>
        </w:rPr>
        <w:t xml:space="preserve">. Mērķdotācija pašvaldību māksliniecisko kolektīvu vadītāju atlīdzībai paredzēta EUR </w:t>
      </w:r>
      <w:r w:rsidRPr="00F53313" w:rsidR="00F53313">
        <w:rPr>
          <w:sz w:val="20"/>
          <w:szCs w:val="20"/>
        </w:rPr>
        <w:t>53 073</w:t>
      </w:r>
      <w:r w:rsidRPr="00F53313">
        <w:rPr>
          <w:sz w:val="20"/>
          <w:szCs w:val="20"/>
        </w:rPr>
        <w:t>, mērķdotācija pašvaldības autoceļiem EUR 1</w:t>
      </w:r>
      <w:r w:rsidRPr="00F53313" w:rsidR="00F53313">
        <w:rPr>
          <w:sz w:val="20"/>
          <w:szCs w:val="20"/>
        </w:rPr>
        <w:t> 536 101</w:t>
      </w:r>
      <w:r w:rsidRPr="00F53313">
        <w:rPr>
          <w:sz w:val="20"/>
          <w:szCs w:val="20"/>
        </w:rPr>
        <w:t xml:space="preserve">, mērķdotācija mūzikas skolu pedagogu atlīdzībai plānota EUR </w:t>
      </w:r>
      <w:r w:rsidRPr="00F53313" w:rsidR="00F53313">
        <w:rPr>
          <w:sz w:val="20"/>
          <w:szCs w:val="20"/>
        </w:rPr>
        <w:t>193 781</w:t>
      </w:r>
      <w:r w:rsidRPr="00F53313">
        <w:rPr>
          <w:sz w:val="20"/>
          <w:szCs w:val="20"/>
        </w:rPr>
        <w:t xml:space="preserve">, mērķdotācija bērnu un jaunatnes sporta skolu pedagogu atlīdzībai plānota EUR </w:t>
      </w:r>
      <w:r w:rsidRPr="00F53313" w:rsidR="00F53313">
        <w:rPr>
          <w:sz w:val="20"/>
          <w:szCs w:val="20"/>
        </w:rPr>
        <w:t>312 807</w:t>
      </w:r>
      <w:r w:rsidRPr="00F53313">
        <w:rPr>
          <w:sz w:val="20"/>
          <w:szCs w:val="20"/>
        </w:rPr>
        <w:t>. Valsts budžeta transfertu apjoms plānots, ņemot vērā nozaru</w:t>
      </w:r>
      <w:r w:rsidRPr="00F53313">
        <w:rPr>
          <w:sz w:val="20"/>
          <w:szCs w:val="20"/>
        </w:rPr>
        <w:t xml:space="preserve"> ministriju sniegto infromāciju par iespējamo finansējuma apmēru 202</w:t>
      </w:r>
      <w:r w:rsidRPr="00F53313" w:rsidR="00F53313">
        <w:rPr>
          <w:sz w:val="20"/>
          <w:szCs w:val="20"/>
        </w:rPr>
        <w:t>5</w:t>
      </w:r>
      <w:r w:rsidRPr="00F53313">
        <w:rPr>
          <w:sz w:val="20"/>
          <w:szCs w:val="20"/>
        </w:rPr>
        <w:t>. gadā, kā arī spēkā esošos normatīvos aktus un noslēgots līgumus par Eiropas Savienības stuktūrfondu apguvi.</w:t>
      </w:r>
    </w:p>
    <w:p w:rsidR="00636B5C" w:rsidRPr="00A83E02" w:rsidP="006F20E0" w14:paraId="0DC02E72" w14:textId="4257B83D">
      <w:pPr>
        <w:spacing w:line="240" w:lineRule="atLeast"/>
        <w:contextualSpacing/>
        <w:jc w:val="both"/>
        <w:rPr>
          <w:sz w:val="20"/>
          <w:szCs w:val="20"/>
        </w:rPr>
      </w:pPr>
      <w:r w:rsidRPr="00636B5C">
        <w:rPr>
          <w:color w:val="FF0000"/>
          <w:sz w:val="20"/>
          <w:szCs w:val="20"/>
        </w:rPr>
        <w:tab/>
      </w:r>
      <w:r w:rsidRPr="00A83E02">
        <w:rPr>
          <w:sz w:val="20"/>
          <w:szCs w:val="20"/>
        </w:rPr>
        <w:t xml:space="preserve">Pašvaldību budžeta transferti plānoti EUR </w:t>
      </w:r>
      <w:r w:rsidRPr="00A83E02" w:rsidR="00A83E02">
        <w:rPr>
          <w:sz w:val="20"/>
          <w:szCs w:val="20"/>
        </w:rPr>
        <w:t xml:space="preserve">857 538 </w:t>
      </w:r>
      <w:r w:rsidRPr="00A83E02">
        <w:rPr>
          <w:sz w:val="20"/>
          <w:szCs w:val="20"/>
        </w:rPr>
        <w:t xml:space="preserve">apjomā, jeb </w:t>
      </w:r>
      <w:r w:rsidRPr="00A83E02" w:rsidR="00A83E02">
        <w:rPr>
          <w:sz w:val="20"/>
          <w:szCs w:val="20"/>
        </w:rPr>
        <w:t>1.61</w:t>
      </w:r>
      <w:r w:rsidRPr="00A83E02">
        <w:rPr>
          <w:sz w:val="20"/>
          <w:szCs w:val="20"/>
        </w:rPr>
        <w:t>% no kopējiem pašvaldības ieņēmumiem, kurus sastāda ieņēmumi no citām pašvaldībām par izglītības pakalpojumu nodrošināšanu.</w:t>
      </w:r>
    </w:p>
    <w:p w:rsidR="00636B5C" w:rsidRPr="00173C4D" w:rsidP="006F20E0" w14:paraId="20C2718E" w14:textId="598957BF">
      <w:pPr>
        <w:spacing w:line="240" w:lineRule="atLeast"/>
        <w:contextualSpacing/>
        <w:jc w:val="center"/>
        <w:rPr>
          <w:rFonts w:eastAsia="Calibri"/>
          <w:b/>
          <w:sz w:val="20"/>
          <w:szCs w:val="20"/>
          <w:lang w:eastAsia="en-US"/>
        </w:rPr>
      </w:pPr>
      <w:r w:rsidRPr="00173C4D">
        <w:rPr>
          <w:rFonts w:eastAsia="Calibri"/>
          <w:b/>
          <w:bCs/>
          <w:sz w:val="20"/>
          <w:szCs w:val="20"/>
          <w:lang w:eastAsia="en-US"/>
        </w:rPr>
        <w:t>Izdevumi – 202</w:t>
      </w:r>
      <w:r w:rsidRPr="00173C4D" w:rsidR="00A83E02">
        <w:rPr>
          <w:rFonts w:eastAsia="Calibri"/>
          <w:b/>
          <w:bCs/>
          <w:sz w:val="20"/>
          <w:szCs w:val="20"/>
          <w:lang w:eastAsia="en-US"/>
        </w:rPr>
        <w:t>5</w:t>
      </w:r>
      <w:r w:rsidRPr="00173C4D">
        <w:rPr>
          <w:rFonts w:eastAsia="Calibri"/>
          <w:b/>
          <w:bCs/>
          <w:sz w:val="20"/>
          <w:szCs w:val="20"/>
          <w:lang w:eastAsia="en-US"/>
        </w:rPr>
        <w:t>. gada plāns</w:t>
      </w:r>
    </w:p>
    <w:p w:rsidR="00636B5C" w:rsidRPr="00173C4D" w:rsidP="006F20E0" w14:paraId="5E8B1985" w14:textId="0893551B">
      <w:pPr>
        <w:spacing w:line="240" w:lineRule="atLeast"/>
        <w:ind w:firstLine="720"/>
        <w:contextualSpacing/>
        <w:jc w:val="both"/>
        <w:rPr>
          <w:rFonts w:eastAsia="Calibri"/>
          <w:sz w:val="20"/>
          <w:szCs w:val="20"/>
          <w:lang w:eastAsia="en-US"/>
        </w:rPr>
      </w:pPr>
      <w:r w:rsidRPr="00173C4D">
        <w:rPr>
          <w:rFonts w:eastAsia="Calibri"/>
          <w:sz w:val="20"/>
          <w:szCs w:val="20"/>
          <w:lang w:eastAsia="en-US"/>
        </w:rPr>
        <w:t>Pašvaldības pamatbudžeta izdevumu daļa sastādīta ņemot vērā prognozētos 202</w:t>
      </w:r>
      <w:r w:rsidRPr="00173C4D" w:rsidR="00173C4D">
        <w:rPr>
          <w:rFonts w:eastAsia="Calibri"/>
          <w:sz w:val="20"/>
          <w:szCs w:val="20"/>
          <w:lang w:eastAsia="en-US"/>
        </w:rPr>
        <w:t>5</w:t>
      </w:r>
      <w:r w:rsidRPr="00173C4D">
        <w:rPr>
          <w:rFonts w:eastAsia="Calibri"/>
          <w:sz w:val="20"/>
          <w:szCs w:val="20"/>
          <w:lang w:eastAsia="en-US"/>
        </w:rPr>
        <w:t xml:space="preserve">. gada ieņēmumus. Izdevumi plānoti EUR </w:t>
      </w:r>
      <w:r w:rsidRPr="00173C4D" w:rsidR="00173C4D">
        <w:rPr>
          <w:rFonts w:eastAsia="Calibri"/>
          <w:b/>
          <w:sz w:val="20"/>
          <w:szCs w:val="20"/>
          <w:lang w:eastAsia="en-US"/>
        </w:rPr>
        <w:t xml:space="preserve">65 393 </w:t>
      </w:r>
      <w:r w:rsidR="008807D2">
        <w:rPr>
          <w:rFonts w:eastAsia="Calibri"/>
          <w:b/>
          <w:sz w:val="20"/>
          <w:szCs w:val="20"/>
          <w:lang w:eastAsia="en-US"/>
        </w:rPr>
        <w:t>909</w:t>
      </w:r>
      <w:r w:rsidRPr="00173C4D">
        <w:rPr>
          <w:rFonts w:eastAsia="Calibri"/>
          <w:sz w:val="20"/>
          <w:szCs w:val="20"/>
          <w:lang w:eastAsia="en-US"/>
        </w:rPr>
        <w:t xml:space="preserve"> apmērā (neskaitot Valsts kases aizņēmumu pamatsummas atmaksas).</w:t>
      </w:r>
    </w:p>
    <w:p w:rsidR="00636B5C" w:rsidRPr="00636B5C" w:rsidP="006F20E0" w14:paraId="195EE15B" w14:textId="2E0C8A7F">
      <w:pPr>
        <w:spacing w:line="240" w:lineRule="atLeast"/>
        <w:ind w:firstLine="720"/>
        <w:contextualSpacing/>
        <w:jc w:val="both"/>
        <w:rPr>
          <w:rFonts w:eastAsia="Calibri"/>
          <w:bCs/>
          <w:color w:val="FF0000"/>
          <w:sz w:val="20"/>
          <w:szCs w:val="20"/>
          <w:lang w:eastAsia="en-US"/>
        </w:rPr>
      </w:pPr>
      <w:r>
        <w:rPr>
          <w:noProof/>
        </w:rPr>
        <w:drawing>
          <wp:inline distT="0" distB="0" distL="0" distR="0">
            <wp:extent cx="5939790" cy="4220210"/>
            <wp:effectExtent l="0" t="0" r="3810" b="8890"/>
            <wp:docPr id="1508931323" name="Chart 1">
              <a:extLst xmlns:a="http://schemas.openxmlformats.org/drawingml/2006/main">
                <a:ext xmlns:a="http://schemas.openxmlformats.org/drawingml/2006/main" uri="{FF2B5EF4-FFF2-40B4-BE49-F238E27FC236}">
                  <a16:creationId xmlns:a16="http://schemas.microsoft.com/office/drawing/2014/main" id="{E45DCC29-5999-54B8-2AB5-E323FE74F914}"/>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3"/>
              </a:graphicData>
            </a:graphic>
          </wp:inline>
        </w:drawing>
      </w:r>
    </w:p>
    <w:p w:rsidR="00636B5C" w:rsidRPr="00992384" w:rsidP="006F20E0" w14:paraId="67F811F5" w14:textId="77777777">
      <w:pPr>
        <w:spacing w:line="240" w:lineRule="atLeast"/>
        <w:ind w:firstLine="720"/>
        <w:contextualSpacing/>
        <w:jc w:val="both"/>
        <w:rPr>
          <w:rFonts w:eastAsia="Calibri"/>
          <w:b/>
          <w:bCs/>
          <w:sz w:val="20"/>
          <w:szCs w:val="20"/>
          <w:lang w:eastAsia="en-US"/>
        </w:rPr>
      </w:pPr>
    </w:p>
    <w:p w:rsidR="00636B5C" w:rsidRPr="00992384" w:rsidP="006F20E0" w14:paraId="32D5E329" w14:textId="46EA8586">
      <w:pPr>
        <w:spacing w:line="240" w:lineRule="atLeast"/>
        <w:ind w:firstLine="720"/>
        <w:contextualSpacing/>
        <w:jc w:val="both"/>
        <w:rPr>
          <w:rFonts w:eastAsia="Calibri"/>
          <w:bCs/>
          <w:sz w:val="20"/>
          <w:szCs w:val="20"/>
          <w:lang w:eastAsia="en-US"/>
        </w:rPr>
      </w:pPr>
      <w:r w:rsidRPr="00992384">
        <w:rPr>
          <w:rFonts w:eastAsia="Calibri"/>
          <w:b/>
          <w:sz w:val="20"/>
          <w:szCs w:val="20"/>
          <w:lang w:eastAsia="en-US"/>
        </w:rPr>
        <w:t>Vispārējo valdības dienestu</w:t>
      </w:r>
      <w:r w:rsidRPr="00992384">
        <w:rPr>
          <w:rFonts w:eastAsia="Calibri"/>
          <w:bCs/>
          <w:sz w:val="20"/>
          <w:szCs w:val="20"/>
          <w:lang w:eastAsia="en-US"/>
        </w:rPr>
        <w:t xml:space="preserve"> darbības nodrošināšanai plānoti EUR </w:t>
      </w:r>
      <w:r w:rsidRPr="00992384" w:rsidR="00992384">
        <w:rPr>
          <w:rFonts w:eastAsia="Calibri"/>
          <w:bCs/>
          <w:sz w:val="20"/>
          <w:szCs w:val="20"/>
          <w:lang w:eastAsia="en-US"/>
        </w:rPr>
        <w:t>6 830 249</w:t>
      </w:r>
      <w:r w:rsidRPr="00992384">
        <w:rPr>
          <w:rFonts w:eastAsia="Calibri"/>
          <w:bCs/>
          <w:sz w:val="20"/>
          <w:szCs w:val="20"/>
          <w:lang w:eastAsia="en-US"/>
        </w:rPr>
        <w:t xml:space="preserve"> jeb </w:t>
      </w:r>
      <w:r w:rsidRPr="00992384" w:rsidR="00992384">
        <w:rPr>
          <w:rFonts w:eastAsia="Calibri"/>
          <w:bCs/>
          <w:sz w:val="20"/>
          <w:szCs w:val="20"/>
          <w:lang w:eastAsia="en-US"/>
        </w:rPr>
        <w:t>10</w:t>
      </w:r>
      <w:r w:rsidR="00C21610">
        <w:rPr>
          <w:rFonts w:eastAsia="Calibri"/>
          <w:bCs/>
          <w:sz w:val="20"/>
          <w:szCs w:val="20"/>
          <w:lang w:eastAsia="en-US"/>
        </w:rPr>
        <w:t>.</w:t>
      </w:r>
      <w:r w:rsidRPr="00992384" w:rsidR="00992384">
        <w:rPr>
          <w:rFonts w:eastAsia="Calibri"/>
          <w:bCs/>
          <w:sz w:val="20"/>
          <w:szCs w:val="20"/>
          <w:lang w:eastAsia="en-US"/>
        </w:rPr>
        <w:t>44</w:t>
      </w:r>
      <w:r w:rsidRPr="00992384">
        <w:rPr>
          <w:rFonts w:eastAsia="Calibri"/>
          <w:bCs/>
          <w:sz w:val="20"/>
          <w:szCs w:val="20"/>
          <w:lang w:eastAsia="en-US"/>
        </w:rPr>
        <w:t>% no kopējiem pamatbudžeta izdevumiem. Izdevumi plānoti pašvaldības darbības nodrošināšanai, finanšu vadībai un klientu apkalpošanai, t.sk.:</w:t>
      </w:r>
    </w:p>
    <w:p w:rsidR="00636B5C" w:rsidRPr="00992384" w:rsidP="006F20E0" w14:paraId="527858BC" w14:textId="3AC61455">
      <w:pPr>
        <w:numPr>
          <w:ilvl w:val="0"/>
          <w:numId w:val="14"/>
        </w:numPr>
        <w:spacing w:line="240" w:lineRule="atLeast"/>
        <w:contextualSpacing/>
        <w:jc w:val="both"/>
        <w:rPr>
          <w:rFonts w:eastAsia="Calibri"/>
          <w:bCs/>
          <w:sz w:val="20"/>
          <w:szCs w:val="20"/>
          <w:lang w:eastAsia="en-US"/>
        </w:rPr>
      </w:pPr>
      <w:r w:rsidRPr="00992384">
        <w:rPr>
          <w:rFonts w:eastAsia="Calibri"/>
          <w:bCs/>
          <w:sz w:val="20"/>
          <w:szCs w:val="20"/>
          <w:lang w:eastAsia="en-US"/>
        </w:rPr>
        <w:t xml:space="preserve">Domes deputātu un </w:t>
      </w:r>
      <w:r w:rsidRPr="00992384">
        <w:rPr>
          <w:rStyle w:val="dynatree-node"/>
          <w:bCs/>
          <w:sz w:val="20"/>
          <w:szCs w:val="20"/>
        </w:rPr>
        <w:t xml:space="preserve">domes komisiju un darba grupu locekļu </w:t>
      </w:r>
      <w:r w:rsidRPr="00992384">
        <w:rPr>
          <w:rFonts w:eastAsia="Calibri"/>
          <w:bCs/>
          <w:sz w:val="20"/>
          <w:szCs w:val="20"/>
          <w:lang w:eastAsia="en-US"/>
        </w:rPr>
        <w:t>darba samaksai EUR 22</w:t>
      </w:r>
      <w:r w:rsidRPr="00992384" w:rsidR="00992384">
        <w:rPr>
          <w:rFonts w:eastAsia="Calibri"/>
          <w:bCs/>
          <w:sz w:val="20"/>
          <w:szCs w:val="20"/>
          <w:lang w:eastAsia="en-US"/>
        </w:rPr>
        <w:t>5</w:t>
      </w:r>
      <w:r w:rsidR="00992384">
        <w:rPr>
          <w:rFonts w:eastAsia="Calibri"/>
          <w:bCs/>
          <w:sz w:val="20"/>
          <w:szCs w:val="20"/>
          <w:lang w:eastAsia="en-US"/>
        </w:rPr>
        <w:t xml:space="preserve"> </w:t>
      </w:r>
      <w:r w:rsidRPr="00992384" w:rsidR="00992384">
        <w:rPr>
          <w:rFonts w:eastAsia="Calibri"/>
          <w:bCs/>
          <w:sz w:val="20"/>
          <w:szCs w:val="20"/>
          <w:lang w:eastAsia="en-US"/>
        </w:rPr>
        <w:t>898</w:t>
      </w:r>
      <w:r w:rsidRPr="00992384">
        <w:rPr>
          <w:rFonts w:eastAsia="Calibri"/>
          <w:bCs/>
          <w:sz w:val="20"/>
          <w:szCs w:val="20"/>
          <w:lang w:eastAsia="en-US"/>
        </w:rPr>
        <w:t>;</w:t>
      </w:r>
    </w:p>
    <w:p w:rsidR="00636B5C" w:rsidRPr="00992384" w:rsidP="006F20E0" w14:paraId="6DF11104" w14:textId="4764F6FD">
      <w:pPr>
        <w:numPr>
          <w:ilvl w:val="0"/>
          <w:numId w:val="14"/>
        </w:numPr>
        <w:spacing w:line="240" w:lineRule="atLeast"/>
        <w:contextualSpacing/>
        <w:jc w:val="both"/>
        <w:rPr>
          <w:rFonts w:eastAsia="Calibri"/>
          <w:bCs/>
          <w:sz w:val="20"/>
          <w:szCs w:val="20"/>
          <w:lang w:eastAsia="en-US"/>
        </w:rPr>
      </w:pPr>
      <w:r w:rsidRPr="00992384">
        <w:rPr>
          <w:rFonts w:eastAsia="Calibri"/>
          <w:bCs/>
          <w:sz w:val="20"/>
          <w:szCs w:val="20"/>
          <w:lang w:eastAsia="en-US"/>
        </w:rPr>
        <w:t xml:space="preserve">Līdzekļi neparedzētiem gadījumiem EUR </w:t>
      </w:r>
      <w:r w:rsidRPr="00992384" w:rsidR="00992384">
        <w:rPr>
          <w:rFonts w:eastAsia="Calibri"/>
          <w:bCs/>
          <w:sz w:val="20"/>
          <w:szCs w:val="20"/>
          <w:lang w:eastAsia="en-US"/>
        </w:rPr>
        <w:t>100 000</w:t>
      </w:r>
      <w:r w:rsidRPr="00992384">
        <w:rPr>
          <w:rFonts w:eastAsia="Calibri"/>
          <w:bCs/>
          <w:sz w:val="20"/>
          <w:szCs w:val="20"/>
          <w:lang w:eastAsia="en-US"/>
        </w:rPr>
        <w:t xml:space="preserve"> (jeb 0.</w:t>
      </w:r>
      <w:r w:rsidRPr="00992384" w:rsidR="00992384">
        <w:rPr>
          <w:rFonts w:eastAsia="Calibri"/>
          <w:bCs/>
          <w:sz w:val="20"/>
          <w:szCs w:val="20"/>
          <w:lang w:eastAsia="en-US"/>
        </w:rPr>
        <w:t>15</w:t>
      </w:r>
      <w:r w:rsidRPr="00992384">
        <w:rPr>
          <w:rFonts w:eastAsia="Calibri"/>
          <w:bCs/>
          <w:sz w:val="20"/>
          <w:szCs w:val="20"/>
          <w:lang w:eastAsia="en-US"/>
        </w:rPr>
        <w:t>% no kopējiem izdevumiem);</w:t>
      </w:r>
    </w:p>
    <w:p w:rsidR="00636B5C" w:rsidRPr="00992384" w:rsidP="006F20E0" w14:paraId="5426B5CC" w14:textId="5C06DCAA">
      <w:pPr>
        <w:numPr>
          <w:ilvl w:val="0"/>
          <w:numId w:val="14"/>
        </w:numPr>
        <w:spacing w:line="240" w:lineRule="atLeast"/>
        <w:contextualSpacing/>
        <w:jc w:val="both"/>
        <w:rPr>
          <w:rFonts w:eastAsia="Calibri"/>
          <w:bCs/>
          <w:sz w:val="20"/>
          <w:szCs w:val="20"/>
          <w:lang w:eastAsia="en-US"/>
        </w:rPr>
      </w:pPr>
      <w:r w:rsidRPr="00992384">
        <w:rPr>
          <w:rFonts w:eastAsia="Calibri"/>
          <w:bCs/>
          <w:sz w:val="20"/>
          <w:szCs w:val="20"/>
          <w:lang w:eastAsia="en-US"/>
        </w:rPr>
        <w:t>Dotācija Latgales speciālajai ekonomiskajai zonai (LSEZ) – EUR 3</w:t>
      </w:r>
      <w:r w:rsidRPr="00992384" w:rsidR="00992384">
        <w:rPr>
          <w:rFonts w:eastAsia="Calibri"/>
          <w:bCs/>
          <w:sz w:val="20"/>
          <w:szCs w:val="20"/>
          <w:lang w:eastAsia="en-US"/>
        </w:rPr>
        <w:t xml:space="preserve"> </w:t>
      </w:r>
      <w:r w:rsidRPr="00992384">
        <w:rPr>
          <w:rFonts w:eastAsia="Calibri"/>
          <w:bCs/>
          <w:sz w:val="20"/>
          <w:szCs w:val="20"/>
          <w:lang w:eastAsia="en-US"/>
        </w:rPr>
        <w:t>8</w:t>
      </w:r>
      <w:r w:rsidRPr="00992384" w:rsidR="00992384">
        <w:rPr>
          <w:rFonts w:eastAsia="Calibri"/>
          <w:bCs/>
          <w:sz w:val="20"/>
          <w:szCs w:val="20"/>
          <w:lang w:eastAsia="en-US"/>
        </w:rPr>
        <w:t>01</w:t>
      </w:r>
      <w:r w:rsidRPr="00992384">
        <w:rPr>
          <w:rFonts w:eastAsia="Calibri"/>
          <w:bCs/>
          <w:sz w:val="20"/>
          <w:szCs w:val="20"/>
          <w:lang w:eastAsia="en-US"/>
        </w:rPr>
        <w:t>;</w:t>
      </w:r>
    </w:p>
    <w:p w:rsidR="00636B5C" w:rsidRPr="00992384" w:rsidP="006F20E0" w14:paraId="6C1929F3" w14:textId="0E4C5328">
      <w:pPr>
        <w:numPr>
          <w:ilvl w:val="0"/>
          <w:numId w:val="14"/>
        </w:numPr>
        <w:spacing w:line="240" w:lineRule="atLeast"/>
        <w:contextualSpacing/>
        <w:jc w:val="both"/>
        <w:rPr>
          <w:rFonts w:eastAsia="Calibri"/>
          <w:bCs/>
          <w:sz w:val="20"/>
          <w:szCs w:val="20"/>
          <w:lang w:eastAsia="en-US"/>
        </w:rPr>
      </w:pPr>
      <w:r w:rsidRPr="00992384">
        <w:rPr>
          <w:rFonts w:eastAsia="Calibri"/>
          <w:bCs/>
          <w:sz w:val="20"/>
          <w:szCs w:val="20"/>
          <w:lang w:eastAsia="en-US"/>
        </w:rPr>
        <w:t xml:space="preserve">Dotācija Rēzeknes speciālajai ekonomiskajai zonai (RSEZ) – EUR </w:t>
      </w:r>
      <w:r w:rsidRPr="00992384" w:rsidR="00992384">
        <w:rPr>
          <w:rFonts w:eastAsia="Calibri"/>
          <w:bCs/>
          <w:sz w:val="20"/>
          <w:szCs w:val="20"/>
          <w:lang w:eastAsia="en-US"/>
        </w:rPr>
        <w:t>63 179</w:t>
      </w:r>
      <w:r w:rsidRPr="00992384">
        <w:rPr>
          <w:rFonts w:eastAsia="Calibri"/>
          <w:bCs/>
          <w:sz w:val="20"/>
          <w:szCs w:val="20"/>
          <w:lang w:eastAsia="en-US"/>
        </w:rPr>
        <w:t>;</w:t>
      </w:r>
    </w:p>
    <w:p w:rsidR="00636B5C" w:rsidRPr="00C21610" w:rsidP="006F20E0" w14:paraId="1C6B3D20" w14:textId="1FF9D6F9">
      <w:pPr>
        <w:numPr>
          <w:ilvl w:val="0"/>
          <w:numId w:val="14"/>
        </w:numPr>
        <w:spacing w:line="240" w:lineRule="atLeast"/>
        <w:contextualSpacing/>
        <w:jc w:val="both"/>
        <w:rPr>
          <w:rFonts w:eastAsia="Calibri"/>
          <w:bCs/>
          <w:sz w:val="20"/>
          <w:szCs w:val="20"/>
          <w:lang w:eastAsia="en-US"/>
        </w:rPr>
      </w:pPr>
      <w:r w:rsidRPr="00C21610">
        <w:rPr>
          <w:rFonts w:eastAsia="Calibri"/>
          <w:bCs/>
          <w:sz w:val="20"/>
          <w:szCs w:val="20"/>
          <w:lang w:eastAsia="en-US"/>
        </w:rPr>
        <w:t xml:space="preserve">Biedru nauda Latvijas Pašvaldību savienībai EUR </w:t>
      </w:r>
      <w:r w:rsidRPr="00C21610" w:rsidR="00C21610">
        <w:rPr>
          <w:rFonts w:eastAsia="Calibri"/>
          <w:bCs/>
          <w:sz w:val="20"/>
          <w:szCs w:val="20"/>
          <w:lang w:eastAsia="en-US"/>
        </w:rPr>
        <w:t>38 222</w:t>
      </w:r>
      <w:r w:rsidRPr="00C21610">
        <w:rPr>
          <w:rFonts w:eastAsia="Calibri"/>
          <w:bCs/>
          <w:sz w:val="20"/>
          <w:szCs w:val="20"/>
          <w:lang w:eastAsia="en-US"/>
        </w:rPr>
        <w:t>;</w:t>
      </w:r>
    </w:p>
    <w:p w:rsidR="00636B5C" w:rsidP="006F20E0" w14:paraId="5914B330" w14:textId="20CF612E">
      <w:pPr>
        <w:numPr>
          <w:ilvl w:val="0"/>
          <w:numId w:val="14"/>
        </w:numPr>
        <w:spacing w:line="240" w:lineRule="atLeast"/>
        <w:contextualSpacing/>
        <w:jc w:val="both"/>
        <w:rPr>
          <w:rFonts w:eastAsia="Calibri"/>
          <w:bCs/>
          <w:sz w:val="20"/>
          <w:szCs w:val="20"/>
          <w:lang w:eastAsia="en-US"/>
        </w:rPr>
      </w:pPr>
      <w:r w:rsidRPr="00C21610">
        <w:rPr>
          <w:rFonts w:eastAsia="Calibri"/>
          <w:bCs/>
          <w:sz w:val="20"/>
          <w:szCs w:val="20"/>
          <w:lang w:eastAsia="en-US"/>
        </w:rPr>
        <w:t xml:space="preserve">informācijas tehnoloģiju pakalpojumi  EUR </w:t>
      </w:r>
      <w:r w:rsidRPr="00C21610" w:rsidR="00C21610">
        <w:rPr>
          <w:rFonts w:eastAsia="Calibri"/>
          <w:bCs/>
          <w:sz w:val="20"/>
          <w:szCs w:val="20"/>
          <w:lang w:eastAsia="en-US"/>
        </w:rPr>
        <w:t>236</w:t>
      </w:r>
      <w:r w:rsidR="00C21610">
        <w:rPr>
          <w:rFonts w:eastAsia="Calibri"/>
          <w:bCs/>
          <w:sz w:val="20"/>
          <w:szCs w:val="20"/>
          <w:lang w:eastAsia="en-US"/>
        </w:rPr>
        <w:t> </w:t>
      </w:r>
      <w:r w:rsidRPr="00C21610" w:rsidR="00C21610">
        <w:rPr>
          <w:rFonts w:eastAsia="Calibri"/>
          <w:bCs/>
          <w:sz w:val="20"/>
          <w:szCs w:val="20"/>
          <w:lang w:eastAsia="en-US"/>
        </w:rPr>
        <w:t>081</w:t>
      </w:r>
      <w:r w:rsidRPr="00C21610">
        <w:rPr>
          <w:rFonts w:eastAsia="Calibri"/>
          <w:bCs/>
          <w:sz w:val="20"/>
          <w:szCs w:val="20"/>
          <w:lang w:eastAsia="en-US"/>
        </w:rPr>
        <w:t>;</w:t>
      </w:r>
    </w:p>
    <w:p w:rsidR="00C21610" w:rsidRPr="00C21610" w:rsidP="006F20E0" w14:paraId="1868AAA3" w14:textId="137EAB3D">
      <w:pPr>
        <w:numPr>
          <w:ilvl w:val="0"/>
          <w:numId w:val="14"/>
        </w:numPr>
        <w:spacing w:line="240" w:lineRule="atLeast"/>
        <w:contextualSpacing/>
        <w:jc w:val="both"/>
        <w:rPr>
          <w:rFonts w:eastAsia="Calibri"/>
          <w:bCs/>
          <w:sz w:val="20"/>
          <w:szCs w:val="20"/>
          <w:lang w:eastAsia="en-US"/>
        </w:rPr>
      </w:pPr>
      <w:r>
        <w:rPr>
          <w:rFonts w:eastAsia="Calibri"/>
          <w:bCs/>
          <w:sz w:val="20"/>
          <w:szCs w:val="20"/>
          <w:lang w:eastAsia="en-US"/>
        </w:rPr>
        <w:t>plānotie izdevumu pašvaldību vēlēšanu nodrošināšanai EUR 127 463;</w:t>
      </w:r>
    </w:p>
    <w:p w:rsidR="00636B5C" w:rsidRPr="00C21610" w:rsidP="006F20E0" w14:paraId="0A2B2BFB" w14:textId="04381389">
      <w:pPr>
        <w:numPr>
          <w:ilvl w:val="0"/>
          <w:numId w:val="14"/>
        </w:numPr>
        <w:spacing w:line="240" w:lineRule="atLeast"/>
        <w:contextualSpacing/>
        <w:jc w:val="both"/>
        <w:rPr>
          <w:rFonts w:eastAsia="Calibri"/>
          <w:bCs/>
          <w:sz w:val="20"/>
          <w:szCs w:val="20"/>
          <w:lang w:eastAsia="en-US"/>
        </w:rPr>
      </w:pPr>
      <w:r w:rsidRPr="00C21610">
        <w:rPr>
          <w:rFonts w:eastAsia="Calibri"/>
          <w:bCs/>
          <w:sz w:val="20"/>
          <w:szCs w:val="20"/>
          <w:lang w:eastAsia="en-US"/>
        </w:rPr>
        <w:t xml:space="preserve">aizņēmumu apkalpošanas maksas un procentu maksājumiem Valsts kasei EUR </w:t>
      </w:r>
      <w:r w:rsidRPr="00C21610" w:rsidR="00C21610">
        <w:rPr>
          <w:rFonts w:eastAsia="Calibri"/>
          <w:bCs/>
          <w:sz w:val="20"/>
          <w:szCs w:val="20"/>
          <w:lang w:eastAsia="en-US"/>
        </w:rPr>
        <w:t>593 040</w:t>
      </w:r>
      <w:r w:rsidRPr="00C21610">
        <w:rPr>
          <w:rFonts w:eastAsia="Calibri"/>
          <w:bCs/>
          <w:sz w:val="20"/>
          <w:szCs w:val="20"/>
          <w:lang w:eastAsia="en-US"/>
        </w:rPr>
        <w:t>;</w:t>
      </w:r>
    </w:p>
    <w:p w:rsidR="00636B5C" w:rsidRPr="00C21610" w:rsidP="006F20E0" w14:paraId="3542F31B" w14:textId="1CB04B7B">
      <w:pPr>
        <w:numPr>
          <w:ilvl w:val="0"/>
          <w:numId w:val="14"/>
        </w:numPr>
        <w:spacing w:line="240" w:lineRule="atLeast"/>
        <w:contextualSpacing/>
        <w:jc w:val="both"/>
        <w:rPr>
          <w:rFonts w:eastAsia="Calibri"/>
          <w:bCs/>
          <w:sz w:val="20"/>
          <w:szCs w:val="20"/>
          <w:lang w:eastAsia="en-US"/>
        </w:rPr>
      </w:pPr>
      <w:r w:rsidRPr="00C21610">
        <w:rPr>
          <w:rFonts w:eastAsia="Calibri"/>
          <w:bCs/>
          <w:sz w:val="20"/>
          <w:szCs w:val="20"/>
          <w:lang w:eastAsia="en-US"/>
        </w:rPr>
        <w:t xml:space="preserve">EUR </w:t>
      </w:r>
      <w:r w:rsidRPr="00C21610" w:rsidR="00C21610">
        <w:rPr>
          <w:rFonts w:eastAsia="Calibri"/>
          <w:bCs/>
          <w:sz w:val="20"/>
          <w:szCs w:val="20"/>
          <w:lang w:eastAsia="en-US"/>
        </w:rPr>
        <w:t>730 350</w:t>
      </w:r>
      <w:r w:rsidRPr="00C21610">
        <w:rPr>
          <w:rFonts w:eastAsia="Calibri"/>
          <w:bCs/>
          <w:sz w:val="20"/>
          <w:szCs w:val="20"/>
          <w:lang w:eastAsia="en-US"/>
        </w:rPr>
        <w:t xml:space="preserve"> Saimniecības un nekustamā īpašuma apsaimniekošanas nodaļas darbības nodrošināšanai;</w:t>
      </w:r>
    </w:p>
    <w:p w:rsidR="00636B5C" w:rsidRPr="00C21610" w:rsidP="006F20E0" w14:paraId="6475321E" w14:textId="5E1993C5">
      <w:pPr>
        <w:numPr>
          <w:ilvl w:val="0"/>
          <w:numId w:val="14"/>
        </w:numPr>
        <w:spacing w:line="240" w:lineRule="atLeast"/>
        <w:contextualSpacing/>
        <w:jc w:val="both"/>
        <w:rPr>
          <w:rFonts w:eastAsia="Calibri"/>
          <w:bCs/>
          <w:sz w:val="20"/>
          <w:szCs w:val="20"/>
          <w:lang w:eastAsia="en-US"/>
        </w:rPr>
      </w:pPr>
      <w:r w:rsidRPr="00C21610">
        <w:rPr>
          <w:rFonts w:eastAsia="Calibri"/>
          <w:bCs/>
          <w:sz w:val="20"/>
          <w:szCs w:val="20"/>
          <w:lang w:eastAsia="en-US"/>
        </w:rPr>
        <w:t xml:space="preserve">Apvienību un </w:t>
      </w:r>
      <w:r w:rsidR="0041286D">
        <w:rPr>
          <w:rFonts w:eastAsia="Calibri"/>
          <w:bCs/>
          <w:sz w:val="20"/>
          <w:szCs w:val="20"/>
          <w:lang w:eastAsia="en-US"/>
        </w:rPr>
        <w:t>Centrālās pārvaldes</w:t>
      </w:r>
      <w:r w:rsidRPr="00C21610">
        <w:rPr>
          <w:rFonts w:eastAsia="Calibri"/>
          <w:bCs/>
          <w:sz w:val="20"/>
          <w:szCs w:val="20"/>
          <w:lang w:eastAsia="en-US"/>
        </w:rPr>
        <w:t xml:space="preserve"> izpildvaras nodrošināšanai EUR </w:t>
      </w:r>
      <w:r w:rsidRPr="00C21610" w:rsidR="00C21610">
        <w:rPr>
          <w:rFonts w:eastAsia="Calibri"/>
          <w:bCs/>
          <w:sz w:val="20"/>
          <w:szCs w:val="20"/>
          <w:lang w:eastAsia="en-US"/>
        </w:rPr>
        <w:t>4 712 215</w:t>
      </w:r>
      <w:r w:rsidRPr="00C21610">
        <w:rPr>
          <w:rFonts w:eastAsia="Calibri"/>
          <w:bCs/>
          <w:sz w:val="20"/>
          <w:szCs w:val="20"/>
          <w:lang w:eastAsia="en-US"/>
        </w:rPr>
        <w:t>.</w:t>
      </w:r>
    </w:p>
    <w:p w:rsidR="00636B5C" w:rsidRPr="00992384" w:rsidP="006F20E0" w14:paraId="7F108488" w14:textId="1BF7D2F6">
      <w:pPr>
        <w:spacing w:line="240" w:lineRule="atLeast"/>
        <w:ind w:firstLine="720"/>
        <w:contextualSpacing/>
        <w:jc w:val="both"/>
        <w:rPr>
          <w:rFonts w:eastAsia="Calibri"/>
          <w:b/>
          <w:sz w:val="20"/>
          <w:szCs w:val="20"/>
          <w:lang w:eastAsia="en-US"/>
        </w:rPr>
      </w:pPr>
      <w:r w:rsidRPr="00992384">
        <w:rPr>
          <w:rFonts w:eastAsia="Calibri"/>
          <w:b/>
          <w:sz w:val="20"/>
          <w:szCs w:val="20"/>
          <w:lang w:eastAsia="en-US"/>
        </w:rPr>
        <w:t xml:space="preserve">Civilās aizsardzības </w:t>
      </w:r>
      <w:r w:rsidRPr="00992384">
        <w:rPr>
          <w:rFonts w:eastAsia="Calibri"/>
          <w:bCs/>
          <w:sz w:val="20"/>
          <w:szCs w:val="20"/>
          <w:lang w:eastAsia="en-US"/>
        </w:rPr>
        <w:t>nodrošināšanai plānoti  EUR 2</w:t>
      </w:r>
      <w:r w:rsidR="00992384">
        <w:rPr>
          <w:rFonts w:eastAsia="Calibri"/>
          <w:bCs/>
          <w:sz w:val="20"/>
          <w:szCs w:val="20"/>
          <w:lang w:eastAsia="en-US"/>
        </w:rPr>
        <w:t xml:space="preserve"> </w:t>
      </w:r>
      <w:r w:rsidRPr="00992384">
        <w:rPr>
          <w:rFonts w:eastAsia="Calibri"/>
          <w:bCs/>
          <w:sz w:val="20"/>
          <w:szCs w:val="20"/>
          <w:lang w:eastAsia="en-US"/>
        </w:rPr>
        <w:t>000.</w:t>
      </w:r>
    </w:p>
    <w:p w:rsidR="00636B5C" w:rsidRPr="00992384" w:rsidP="006F20E0" w14:paraId="37B95B3B" w14:textId="2DAF3B94">
      <w:pPr>
        <w:spacing w:line="240" w:lineRule="atLeast"/>
        <w:ind w:firstLine="720"/>
        <w:contextualSpacing/>
        <w:jc w:val="both"/>
        <w:rPr>
          <w:rFonts w:eastAsia="Calibri"/>
          <w:b/>
          <w:sz w:val="20"/>
          <w:szCs w:val="20"/>
          <w:lang w:eastAsia="en-US"/>
        </w:rPr>
      </w:pPr>
      <w:r w:rsidRPr="00992384">
        <w:rPr>
          <w:rFonts w:eastAsia="Calibri"/>
          <w:b/>
          <w:sz w:val="20"/>
          <w:szCs w:val="20"/>
          <w:lang w:eastAsia="en-US"/>
        </w:rPr>
        <w:t xml:space="preserve">Sabiedriskās kārtības un drošības </w:t>
      </w:r>
      <w:r w:rsidRPr="00992384">
        <w:rPr>
          <w:rFonts w:eastAsia="Calibri"/>
          <w:bCs/>
          <w:sz w:val="20"/>
          <w:szCs w:val="20"/>
          <w:lang w:eastAsia="en-US"/>
        </w:rPr>
        <w:t xml:space="preserve">nodrošināšanai plānoti EUR </w:t>
      </w:r>
      <w:r w:rsidRPr="00992384" w:rsidR="00992384">
        <w:rPr>
          <w:rFonts w:eastAsia="Calibri"/>
          <w:bCs/>
          <w:sz w:val="20"/>
          <w:szCs w:val="20"/>
          <w:lang w:eastAsia="en-US"/>
        </w:rPr>
        <w:t>277 257</w:t>
      </w:r>
      <w:r w:rsidRPr="00992384">
        <w:rPr>
          <w:rFonts w:eastAsia="Calibri"/>
          <w:bCs/>
          <w:sz w:val="20"/>
          <w:szCs w:val="20"/>
          <w:lang w:eastAsia="en-US"/>
        </w:rPr>
        <w:t xml:space="preserve"> jeb 0.</w:t>
      </w:r>
      <w:r w:rsidRPr="00992384" w:rsidR="00992384">
        <w:rPr>
          <w:rFonts w:eastAsia="Calibri"/>
          <w:bCs/>
          <w:sz w:val="20"/>
          <w:szCs w:val="20"/>
          <w:lang w:eastAsia="en-US"/>
        </w:rPr>
        <w:t>42</w:t>
      </w:r>
      <w:r w:rsidRPr="00992384">
        <w:rPr>
          <w:rFonts w:eastAsia="Calibri"/>
          <w:bCs/>
          <w:sz w:val="20"/>
          <w:szCs w:val="20"/>
          <w:lang w:eastAsia="en-US"/>
        </w:rPr>
        <w:t>% no kopējiem pamatbudžeta izdevumiem. Izdevumi attiecināmi uz Pašvaldības policijas darbību Rēzeknes novadā.</w:t>
      </w:r>
    </w:p>
    <w:p w:rsidR="00636B5C" w:rsidRPr="00C21610" w:rsidP="006F20E0" w14:paraId="5CEDA9CB" w14:textId="1E0A3103">
      <w:pPr>
        <w:spacing w:line="240" w:lineRule="atLeast"/>
        <w:ind w:firstLine="720"/>
        <w:contextualSpacing/>
        <w:jc w:val="both"/>
        <w:rPr>
          <w:rFonts w:eastAsia="Calibri"/>
          <w:b/>
          <w:sz w:val="20"/>
          <w:szCs w:val="20"/>
          <w:lang w:eastAsia="en-US"/>
        </w:rPr>
      </w:pPr>
      <w:r w:rsidRPr="00C21610">
        <w:rPr>
          <w:rFonts w:eastAsia="Calibri"/>
          <w:b/>
          <w:sz w:val="20"/>
          <w:szCs w:val="20"/>
          <w:lang w:eastAsia="en-US"/>
        </w:rPr>
        <w:t xml:space="preserve">Ekonomiskajai darbībai </w:t>
      </w:r>
      <w:r w:rsidRPr="00C21610">
        <w:rPr>
          <w:rFonts w:eastAsia="Calibri"/>
          <w:sz w:val="20"/>
          <w:szCs w:val="20"/>
          <w:lang w:eastAsia="en-US"/>
        </w:rPr>
        <w:t>202</w:t>
      </w:r>
      <w:r w:rsidRPr="00C21610" w:rsidR="00C21610">
        <w:rPr>
          <w:rFonts w:eastAsia="Calibri"/>
          <w:sz w:val="20"/>
          <w:szCs w:val="20"/>
          <w:lang w:eastAsia="en-US"/>
        </w:rPr>
        <w:t>5</w:t>
      </w:r>
      <w:r w:rsidRPr="00C21610">
        <w:rPr>
          <w:rFonts w:eastAsia="Calibri"/>
          <w:sz w:val="20"/>
          <w:szCs w:val="20"/>
          <w:lang w:eastAsia="en-US"/>
        </w:rPr>
        <w:t xml:space="preserve">. gada izdevumi plānoti EUR </w:t>
      </w:r>
      <w:r w:rsidRPr="00C21610" w:rsidR="00C21610">
        <w:rPr>
          <w:rFonts w:eastAsia="Calibri"/>
          <w:sz w:val="20"/>
          <w:szCs w:val="20"/>
          <w:lang w:eastAsia="en-US"/>
        </w:rPr>
        <w:t>10 676 5</w:t>
      </w:r>
      <w:r w:rsidR="008807D2">
        <w:rPr>
          <w:rFonts w:eastAsia="Calibri"/>
          <w:sz w:val="20"/>
          <w:szCs w:val="20"/>
          <w:lang w:eastAsia="en-US"/>
        </w:rPr>
        <w:t>17</w:t>
      </w:r>
      <w:r w:rsidRPr="00C21610">
        <w:rPr>
          <w:rFonts w:eastAsia="Calibri"/>
          <w:sz w:val="20"/>
          <w:szCs w:val="20"/>
          <w:lang w:eastAsia="en-US"/>
        </w:rPr>
        <w:t xml:space="preserve"> apmērā jeb </w:t>
      </w:r>
      <w:r w:rsidRPr="00C21610" w:rsidR="00C21610">
        <w:rPr>
          <w:rFonts w:eastAsia="Calibri"/>
          <w:sz w:val="20"/>
          <w:szCs w:val="20"/>
          <w:lang w:eastAsia="en-US"/>
        </w:rPr>
        <w:t>16.33</w:t>
      </w:r>
      <w:r w:rsidRPr="00C21610">
        <w:rPr>
          <w:rFonts w:eastAsia="Calibri"/>
          <w:sz w:val="20"/>
          <w:szCs w:val="20"/>
          <w:lang w:eastAsia="en-US"/>
        </w:rPr>
        <w:t>% no kopējiem pamatbudžeta izdevumiem. Izdevumi attiecināmi uz:</w:t>
      </w:r>
    </w:p>
    <w:p w:rsidR="00636B5C" w:rsidRPr="00377C2C" w:rsidP="006F20E0" w14:paraId="2497B5E7" w14:textId="3D1E69E0">
      <w:pPr>
        <w:numPr>
          <w:ilvl w:val="0"/>
          <w:numId w:val="13"/>
        </w:numPr>
        <w:spacing w:line="240" w:lineRule="atLeast"/>
        <w:contextualSpacing/>
        <w:jc w:val="both"/>
        <w:rPr>
          <w:rFonts w:eastAsia="Calibri"/>
          <w:sz w:val="20"/>
          <w:szCs w:val="20"/>
          <w:lang w:eastAsia="en-US"/>
        </w:rPr>
      </w:pPr>
      <w:r w:rsidRPr="00377C2C">
        <w:rPr>
          <w:rFonts w:eastAsia="Calibri"/>
          <w:sz w:val="20"/>
          <w:szCs w:val="20"/>
          <w:lang w:eastAsia="en-US"/>
        </w:rPr>
        <w:t xml:space="preserve">Algotajiem pagaidu sabiedriskajiem darbiem (APSD EUR </w:t>
      </w:r>
      <w:r w:rsidRPr="00377C2C" w:rsidR="00377C2C">
        <w:rPr>
          <w:rFonts w:eastAsia="Calibri"/>
          <w:sz w:val="20"/>
          <w:szCs w:val="20"/>
          <w:lang w:eastAsia="en-US"/>
        </w:rPr>
        <w:t>187 7</w:t>
      </w:r>
      <w:r w:rsidR="008807D2">
        <w:rPr>
          <w:rFonts w:eastAsia="Calibri"/>
          <w:sz w:val="20"/>
          <w:szCs w:val="20"/>
          <w:lang w:eastAsia="en-US"/>
        </w:rPr>
        <w:t>65</w:t>
      </w:r>
      <w:r w:rsidRPr="00377C2C">
        <w:rPr>
          <w:rFonts w:eastAsia="Calibri"/>
          <w:sz w:val="20"/>
          <w:szCs w:val="20"/>
          <w:lang w:eastAsia="en-US"/>
        </w:rPr>
        <w:t>);</w:t>
      </w:r>
    </w:p>
    <w:p w:rsidR="00636B5C" w:rsidRPr="00377C2C" w:rsidP="006F20E0" w14:paraId="6B2A1AA2" w14:textId="025215AE">
      <w:pPr>
        <w:numPr>
          <w:ilvl w:val="0"/>
          <w:numId w:val="13"/>
        </w:numPr>
        <w:spacing w:line="240" w:lineRule="atLeast"/>
        <w:contextualSpacing/>
        <w:jc w:val="both"/>
        <w:rPr>
          <w:rFonts w:eastAsia="Calibri"/>
          <w:bCs/>
          <w:sz w:val="20"/>
          <w:szCs w:val="20"/>
          <w:lang w:eastAsia="en-US"/>
        </w:rPr>
      </w:pPr>
      <w:r w:rsidRPr="00377C2C">
        <w:rPr>
          <w:rFonts w:eastAsia="Calibri"/>
          <w:bCs/>
          <w:sz w:val="20"/>
          <w:szCs w:val="20"/>
          <w:lang w:eastAsia="en-US"/>
        </w:rPr>
        <w:t xml:space="preserve">Sabiedrisko attiecību veidošanai, iedzīvotāju informēšanai ar laikraksta izdevumu un gada kalendāra publicēšanai, kā arī domes reprezentatīvajiem izdevumiem – kopā EUR </w:t>
      </w:r>
      <w:r w:rsidRPr="00377C2C" w:rsidR="00377C2C">
        <w:rPr>
          <w:rFonts w:eastAsia="Calibri"/>
          <w:bCs/>
          <w:sz w:val="20"/>
          <w:szCs w:val="20"/>
          <w:lang w:eastAsia="en-US"/>
        </w:rPr>
        <w:t>50 00</w:t>
      </w:r>
      <w:r w:rsidRPr="00377C2C">
        <w:rPr>
          <w:rFonts w:eastAsia="Calibri"/>
          <w:bCs/>
          <w:sz w:val="20"/>
          <w:szCs w:val="20"/>
          <w:lang w:eastAsia="en-US"/>
        </w:rPr>
        <w:t>0;</w:t>
      </w:r>
    </w:p>
    <w:p w:rsidR="00636B5C" w:rsidRPr="00377C2C" w:rsidP="006F20E0" w14:paraId="494CB023" w14:textId="0473848D">
      <w:pPr>
        <w:numPr>
          <w:ilvl w:val="0"/>
          <w:numId w:val="13"/>
        </w:numPr>
        <w:spacing w:line="240" w:lineRule="atLeast"/>
        <w:contextualSpacing/>
        <w:jc w:val="both"/>
        <w:rPr>
          <w:rFonts w:eastAsia="Calibri"/>
          <w:sz w:val="20"/>
          <w:szCs w:val="20"/>
          <w:lang w:eastAsia="en-US"/>
        </w:rPr>
      </w:pPr>
      <w:r w:rsidRPr="00377C2C">
        <w:rPr>
          <w:rFonts w:eastAsia="Calibri"/>
          <w:sz w:val="20"/>
          <w:szCs w:val="20"/>
          <w:lang w:eastAsia="en-US"/>
        </w:rPr>
        <w:t>Rēzeknes novada pašvaldības būvvaldes darbības nodrošināšanu (EUR 1</w:t>
      </w:r>
      <w:r w:rsidRPr="00377C2C" w:rsidR="00377C2C">
        <w:rPr>
          <w:rFonts w:eastAsia="Calibri"/>
          <w:sz w:val="20"/>
          <w:szCs w:val="20"/>
          <w:lang w:eastAsia="en-US"/>
        </w:rPr>
        <w:t>47 504</w:t>
      </w:r>
      <w:r w:rsidRPr="00377C2C">
        <w:rPr>
          <w:rFonts w:eastAsia="Calibri"/>
          <w:sz w:val="20"/>
          <w:szCs w:val="20"/>
          <w:lang w:eastAsia="en-US"/>
        </w:rPr>
        <w:t>);</w:t>
      </w:r>
    </w:p>
    <w:p w:rsidR="00636B5C" w:rsidRPr="00377C2C" w:rsidP="006F20E0" w14:paraId="1E0E0F26" w14:textId="7AB012EC">
      <w:pPr>
        <w:numPr>
          <w:ilvl w:val="0"/>
          <w:numId w:val="13"/>
        </w:numPr>
        <w:spacing w:line="240" w:lineRule="atLeast"/>
        <w:contextualSpacing/>
        <w:jc w:val="both"/>
        <w:rPr>
          <w:rFonts w:eastAsia="Calibri"/>
          <w:sz w:val="20"/>
          <w:szCs w:val="20"/>
          <w:lang w:eastAsia="en-US"/>
        </w:rPr>
      </w:pPr>
      <w:r w:rsidRPr="00377C2C">
        <w:rPr>
          <w:rFonts w:eastAsia="Calibri"/>
          <w:sz w:val="20"/>
          <w:szCs w:val="20"/>
          <w:lang w:eastAsia="en-US"/>
        </w:rPr>
        <w:t xml:space="preserve">Ieplānoti EUR </w:t>
      </w:r>
      <w:r w:rsidRPr="00377C2C" w:rsidR="00377C2C">
        <w:rPr>
          <w:rFonts w:eastAsia="Calibri"/>
          <w:sz w:val="20"/>
          <w:szCs w:val="20"/>
          <w:lang w:eastAsia="en-US"/>
        </w:rPr>
        <w:t>442 748</w:t>
      </w:r>
      <w:r w:rsidRPr="00377C2C">
        <w:rPr>
          <w:rFonts w:eastAsia="Calibri"/>
          <w:sz w:val="20"/>
          <w:szCs w:val="20"/>
          <w:lang w:eastAsia="en-US"/>
        </w:rPr>
        <w:t xml:space="preserve"> novada pašvaldības ēku infrastruktūras uzlabošanai un sakārtošanai;</w:t>
      </w:r>
    </w:p>
    <w:p w:rsidR="00636B5C" w:rsidP="006F20E0" w14:paraId="1C67F5E1" w14:textId="69C0CAB3">
      <w:pPr>
        <w:numPr>
          <w:ilvl w:val="0"/>
          <w:numId w:val="13"/>
        </w:numPr>
        <w:spacing w:line="240" w:lineRule="atLeast"/>
        <w:contextualSpacing/>
        <w:jc w:val="both"/>
        <w:rPr>
          <w:rFonts w:eastAsia="Calibri"/>
          <w:sz w:val="20"/>
          <w:szCs w:val="20"/>
          <w:lang w:eastAsia="en-US"/>
        </w:rPr>
      </w:pPr>
      <w:r w:rsidRPr="00377C2C">
        <w:rPr>
          <w:rFonts w:eastAsia="Calibri"/>
          <w:sz w:val="20"/>
          <w:szCs w:val="20"/>
          <w:lang w:eastAsia="en-US"/>
        </w:rPr>
        <w:t>Autoceļu fonda līdzekļi 202</w:t>
      </w:r>
      <w:r w:rsidR="00C76C07">
        <w:rPr>
          <w:rFonts w:eastAsia="Calibri"/>
          <w:sz w:val="20"/>
          <w:szCs w:val="20"/>
          <w:lang w:eastAsia="en-US"/>
        </w:rPr>
        <w:t>5</w:t>
      </w:r>
      <w:r w:rsidRPr="00377C2C">
        <w:rPr>
          <w:rFonts w:eastAsia="Calibri"/>
          <w:sz w:val="20"/>
          <w:szCs w:val="20"/>
          <w:lang w:eastAsia="en-US"/>
        </w:rPr>
        <w:t xml:space="preserve">. gadam plānoti EUR </w:t>
      </w:r>
      <w:r w:rsidRPr="00377C2C" w:rsidR="00377C2C">
        <w:rPr>
          <w:rFonts w:eastAsia="Calibri"/>
          <w:sz w:val="20"/>
          <w:szCs w:val="20"/>
          <w:lang w:eastAsia="en-US"/>
        </w:rPr>
        <w:t>1 836 003</w:t>
      </w:r>
      <w:r w:rsidRPr="00377C2C">
        <w:rPr>
          <w:rFonts w:eastAsia="Calibri"/>
          <w:sz w:val="20"/>
          <w:szCs w:val="20"/>
          <w:lang w:eastAsia="en-US"/>
        </w:rPr>
        <w:t xml:space="preserve"> apmērā;</w:t>
      </w:r>
    </w:p>
    <w:p w:rsidR="00377C2C" w:rsidP="006F20E0" w14:paraId="21479707" w14:textId="49A3C3AD">
      <w:pPr>
        <w:numPr>
          <w:ilvl w:val="0"/>
          <w:numId w:val="13"/>
        </w:numPr>
        <w:spacing w:line="240" w:lineRule="atLeast"/>
        <w:contextualSpacing/>
        <w:jc w:val="both"/>
        <w:rPr>
          <w:rFonts w:eastAsia="Calibri"/>
          <w:sz w:val="20"/>
          <w:szCs w:val="20"/>
          <w:lang w:eastAsia="en-US"/>
        </w:rPr>
      </w:pPr>
      <w:r>
        <w:rPr>
          <w:rFonts w:eastAsia="Calibri"/>
          <w:sz w:val="20"/>
          <w:szCs w:val="20"/>
          <w:lang w:eastAsia="en-US"/>
        </w:rPr>
        <w:t>Publiskās ārtelpas attīstībai Ančupānu kartrodromā plānoti EUR 133 223;</w:t>
      </w:r>
    </w:p>
    <w:p w:rsidR="00377C2C" w:rsidP="006F20E0" w14:paraId="6CBF568B" w14:textId="76BFFE58">
      <w:pPr>
        <w:numPr>
          <w:ilvl w:val="0"/>
          <w:numId w:val="13"/>
        </w:numPr>
        <w:spacing w:line="240" w:lineRule="atLeast"/>
        <w:contextualSpacing/>
        <w:jc w:val="both"/>
        <w:rPr>
          <w:rFonts w:eastAsia="Calibri"/>
          <w:sz w:val="20"/>
          <w:szCs w:val="20"/>
          <w:lang w:eastAsia="en-US"/>
        </w:rPr>
      </w:pPr>
      <w:r>
        <w:rPr>
          <w:rFonts w:eastAsia="Calibri"/>
          <w:sz w:val="20"/>
          <w:szCs w:val="20"/>
          <w:lang w:eastAsia="en-US"/>
        </w:rPr>
        <w:t>Projekta “Dzīvo veselīgi” plānotie izdevumi EUR 114 426;</w:t>
      </w:r>
    </w:p>
    <w:p w:rsidR="00377C2C" w:rsidP="006F20E0" w14:paraId="0659F953" w14:textId="71DACDBF">
      <w:pPr>
        <w:numPr>
          <w:ilvl w:val="0"/>
          <w:numId w:val="13"/>
        </w:numPr>
        <w:spacing w:line="240" w:lineRule="atLeast"/>
        <w:contextualSpacing/>
        <w:jc w:val="both"/>
        <w:rPr>
          <w:rFonts w:eastAsia="Calibri"/>
          <w:sz w:val="20"/>
          <w:szCs w:val="20"/>
          <w:lang w:eastAsia="en-US"/>
        </w:rPr>
      </w:pPr>
      <w:r>
        <w:rPr>
          <w:rFonts w:eastAsia="Calibri"/>
          <w:sz w:val="20"/>
          <w:szCs w:val="20"/>
          <w:lang w:eastAsia="en-US"/>
        </w:rPr>
        <w:t>Vienotajam klientu apkalpošanas centram plānoti EUR 35 705;</w:t>
      </w:r>
    </w:p>
    <w:p w:rsidR="00377C2C" w:rsidP="006F20E0" w14:paraId="073133EB" w14:textId="13D0E7BF">
      <w:pPr>
        <w:numPr>
          <w:ilvl w:val="0"/>
          <w:numId w:val="13"/>
        </w:numPr>
        <w:spacing w:line="240" w:lineRule="atLeast"/>
        <w:contextualSpacing/>
        <w:jc w:val="both"/>
        <w:rPr>
          <w:rFonts w:eastAsia="Calibri"/>
          <w:sz w:val="20"/>
          <w:szCs w:val="20"/>
          <w:lang w:eastAsia="en-US"/>
        </w:rPr>
      </w:pPr>
      <w:r>
        <w:rPr>
          <w:rFonts w:eastAsia="Calibri"/>
          <w:sz w:val="20"/>
          <w:szCs w:val="20"/>
          <w:lang w:eastAsia="en-US"/>
        </w:rPr>
        <w:t xml:space="preserve">Autoceļa </w:t>
      </w:r>
      <w:r w:rsidRPr="00377C2C">
        <w:rPr>
          <w:rFonts w:eastAsia="Calibri"/>
          <w:sz w:val="20"/>
          <w:szCs w:val="20"/>
          <w:lang w:eastAsia="en-US"/>
        </w:rPr>
        <w:t xml:space="preserve">Dekšāres - Obelišķas </w:t>
      </w:r>
      <w:r>
        <w:rPr>
          <w:rFonts w:eastAsia="Calibri"/>
          <w:sz w:val="20"/>
          <w:szCs w:val="20"/>
          <w:lang w:eastAsia="en-US"/>
        </w:rPr>
        <w:t>–</w:t>
      </w:r>
      <w:r w:rsidRPr="00377C2C">
        <w:rPr>
          <w:rFonts w:eastAsia="Calibri"/>
          <w:sz w:val="20"/>
          <w:szCs w:val="20"/>
          <w:lang w:eastAsia="en-US"/>
        </w:rPr>
        <w:t xml:space="preserve"> Dzelzceļš</w:t>
      </w:r>
      <w:r>
        <w:rPr>
          <w:rFonts w:eastAsia="Calibri"/>
          <w:sz w:val="20"/>
          <w:szCs w:val="20"/>
          <w:lang w:eastAsia="en-US"/>
        </w:rPr>
        <w:t xml:space="preserve"> remontdarbiem plānoti EUR 674 748;</w:t>
      </w:r>
    </w:p>
    <w:p w:rsidR="00377C2C" w:rsidP="006F20E0" w14:paraId="405CDCE5" w14:textId="1AEA9B30">
      <w:pPr>
        <w:numPr>
          <w:ilvl w:val="0"/>
          <w:numId w:val="13"/>
        </w:numPr>
        <w:spacing w:line="240" w:lineRule="atLeast"/>
        <w:contextualSpacing/>
        <w:jc w:val="both"/>
        <w:rPr>
          <w:rFonts w:eastAsia="Calibri"/>
          <w:sz w:val="20"/>
          <w:szCs w:val="20"/>
          <w:lang w:eastAsia="en-US"/>
        </w:rPr>
      </w:pPr>
      <w:r>
        <w:rPr>
          <w:rFonts w:eastAsia="Calibri"/>
          <w:sz w:val="20"/>
          <w:szCs w:val="20"/>
          <w:lang w:eastAsia="en-US"/>
        </w:rPr>
        <w:t xml:space="preserve">Autoceļa </w:t>
      </w:r>
      <w:r w:rsidRPr="00377C2C">
        <w:rPr>
          <w:rFonts w:eastAsia="Calibri"/>
          <w:sz w:val="20"/>
          <w:szCs w:val="20"/>
          <w:lang w:eastAsia="en-US"/>
        </w:rPr>
        <w:t>Nagļu ceļš - Lejas dzirnavas - Ku</w:t>
      </w:r>
      <w:r>
        <w:rPr>
          <w:rFonts w:eastAsia="Calibri"/>
          <w:sz w:val="20"/>
          <w:szCs w:val="20"/>
          <w:lang w:eastAsia="en-US"/>
        </w:rPr>
        <w:t>c</w:t>
      </w:r>
      <w:r w:rsidRPr="00377C2C">
        <w:rPr>
          <w:rFonts w:eastAsia="Calibri"/>
          <w:sz w:val="20"/>
          <w:szCs w:val="20"/>
          <w:lang w:eastAsia="en-US"/>
        </w:rPr>
        <w:t>es kalns</w:t>
      </w:r>
      <w:r>
        <w:rPr>
          <w:rFonts w:eastAsia="Calibri"/>
          <w:sz w:val="20"/>
          <w:szCs w:val="20"/>
          <w:lang w:eastAsia="en-US"/>
        </w:rPr>
        <w:t xml:space="preserve"> remontdarbiem plānoti EUR 364 203;</w:t>
      </w:r>
    </w:p>
    <w:p w:rsidR="00377C2C" w:rsidP="006F20E0" w14:paraId="39BB6E69" w14:textId="4902A829">
      <w:pPr>
        <w:numPr>
          <w:ilvl w:val="0"/>
          <w:numId w:val="13"/>
        </w:numPr>
        <w:spacing w:line="240" w:lineRule="atLeast"/>
        <w:contextualSpacing/>
        <w:jc w:val="both"/>
        <w:rPr>
          <w:rFonts w:eastAsia="Calibri"/>
          <w:sz w:val="20"/>
          <w:szCs w:val="20"/>
          <w:lang w:eastAsia="en-US"/>
        </w:rPr>
      </w:pPr>
      <w:r>
        <w:rPr>
          <w:rFonts w:eastAsia="Calibri"/>
          <w:sz w:val="20"/>
          <w:szCs w:val="20"/>
          <w:lang w:eastAsia="en-US"/>
        </w:rPr>
        <w:t xml:space="preserve">Autoceļa </w:t>
      </w:r>
      <w:r w:rsidRPr="00377C2C">
        <w:rPr>
          <w:rFonts w:eastAsia="Calibri"/>
          <w:sz w:val="20"/>
          <w:szCs w:val="20"/>
          <w:lang w:eastAsia="en-US"/>
        </w:rPr>
        <w:t xml:space="preserve">Skolas iela Maltā </w:t>
      </w:r>
      <w:r>
        <w:rPr>
          <w:rFonts w:eastAsia="Calibri"/>
          <w:sz w:val="20"/>
          <w:szCs w:val="20"/>
          <w:lang w:eastAsia="en-US"/>
        </w:rPr>
        <w:t>remontdarbiem plānoti EUR 958 230;</w:t>
      </w:r>
    </w:p>
    <w:p w:rsidR="00377C2C" w:rsidP="006F20E0" w14:paraId="64DE2096" w14:textId="0D579EBB">
      <w:pPr>
        <w:numPr>
          <w:ilvl w:val="0"/>
          <w:numId w:val="13"/>
        </w:numPr>
        <w:spacing w:line="240" w:lineRule="atLeast"/>
        <w:contextualSpacing/>
        <w:jc w:val="both"/>
        <w:rPr>
          <w:rFonts w:eastAsia="Calibri"/>
          <w:sz w:val="20"/>
          <w:szCs w:val="20"/>
          <w:lang w:eastAsia="en-US"/>
        </w:rPr>
      </w:pPr>
      <w:r>
        <w:rPr>
          <w:rFonts w:eastAsia="Calibri"/>
          <w:sz w:val="20"/>
          <w:szCs w:val="20"/>
          <w:lang w:eastAsia="en-US"/>
        </w:rPr>
        <w:t xml:space="preserve">Autoceļa </w:t>
      </w:r>
      <w:r w:rsidRPr="00377C2C">
        <w:rPr>
          <w:rFonts w:eastAsia="Calibri"/>
          <w:sz w:val="20"/>
          <w:szCs w:val="20"/>
          <w:lang w:eastAsia="en-US"/>
        </w:rPr>
        <w:t>Greiškāni - Greiškānu ferma</w:t>
      </w:r>
      <w:r>
        <w:rPr>
          <w:rFonts w:eastAsia="Calibri"/>
          <w:sz w:val="20"/>
          <w:szCs w:val="20"/>
          <w:lang w:eastAsia="en-US"/>
        </w:rPr>
        <w:t xml:space="preserve"> remontdarbiem plānoti EUR 73 267;</w:t>
      </w:r>
    </w:p>
    <w:p w:rsidR="00377C2C" w:rsidP="006F20E0" w14:paraId="11C8BA0F" w14:textId="68217F0E">
      <w:pPr>
        <w:numPr>
          <w:ilvl w:val="0"/>
          <w:numId w:val="13"/>
        </w:numPr>
        <w:spacing w:line="240" w:lineRule="atLeast"/>
        <w:contextualSpacing/>
        <w:jc w:val="both"/>
        <w:rPr>
          <w:rFonts w:eastAsia="Calibri"/>
          <w:sz w:val="20"/>
          <w:szCs w:val="20"/>
          <w:lang w:eastAsia="en-US"/>
        </w:rPr>
      </w:pPr>
      <w:r>
        <w:rPr>
          <w:rFonts w:eastAsia="Calibri"/>
          <w:sz w:val="20"/>
          <w:szCs w:val="20"/>
          <w:lang w:eastAsia="en-US"/>
        </w:rPr>
        <w:t xml:space="preserve">Autoceļa </w:t>
      </w:r>
      <w:r w:rsidRPr="00377C2C">
        <w:rPr>
          <w:rFonts w:eastAsia="Calibri"/>
          <w:sz w:val="20"/>
          <w:szCs w:val="20"/>
          <w:lang w:eastAsia="en-US"/>
        </w:rPr>
        <w:t xml:space="preserve">Skolas iela (Darbnīcas - Rēznas iela) </w:t>
      </w:r>
      <w:r>
        <w:rPr>
          <w:rFonts w:eastAsia="Calibri"/>
          <w:sz w:val="20"/>
          <w:szCs w:val="20"/>
          <w:lang w:eastAsia="en-US"/>
        </w:rPr>
        <w:t>remontdarbiem plānoti EUR 363 621;</w:t>
      </w:r>
    </w:p>
    <w:p w:rsidR="00377C2C" w:rsidRPr="00377C2C" w:rsidP="006F20E0" w14:paraId="02FC644F" w14:textId="54D4EB4E">
      <w:pPr>
        <w:numPr>
          <w:ilvl w:val="0"/>
          <w:numId w:val="13"/>
        </w:numPr>
        <w:spacing w:line="240" w:lineRule="atLeast"/>
        <w:contextualSpacing/>
        <w:jc w:val="both"/>
        <w:rPr>
          <w:rFonts w:eastAsia="Calibri"/>
          <w:sz w:val="20"/>
          <w:szCs w:val="20"/>
          <w:lang w:eastAsia="en-US"/>
        </w:rPr>
      </w:pPr>
      <w:r w:rsidRPr="00377C2C">
        <w:rPr>
          <w:rFonts w:eastAsia="Calibri"/>
          <w:sz w:val="20"/>
          <w:szCs w:val="20"/>
          <w:lang w:eastAsia="en-US"/>
        </w:rPr>
        <w:t>Kaunatas apvienības pārvaldes ēkas Kaunatā energoefektivitātes uzlabošana EUR 534 398;</w:t>
      </w:r>
    </w:p>
    <w:p w:rsidR="00377C2C" w:rsidP="006F20E0" w14:paraId="39CBED85" w14:textId="2A6C9AAA">
      <w:pPr>
        <w:numPr>
          <w:ilvl w:val="0"/>
          <w:numId w:val="13"/>
        </w:numPr>
        <w:spacing w:line="240" w:lineRule="atLeast"/>
        <w:contextualSpacing/>
        <w:jc w:val="both"/>
        <w:rPr>
          <w:rFonts w:eastAsia="Calibri"/>
          <w:sz w:val="20"/>
          <w:szCs w:val="20"/>
          <w:lang w:eastAsia="en-US"/>
        </w:rPr>
      </w:pPr>
      <w:r w:rsidRPr="00377C2C">
        <w:rPr>
          <w:rFonts w:eastAsia="Calibri"/>
          <w:sz w:val="20"/>
          <w:szCs w:val="20"/>
          <w:lang w:eastAsia="en-US"/>
        </w:rPr>
        <w:t>Nautrēnu apvienības pārvaldes ēkas Rogovkā energoefektivitātes uzlabošana EUR 309</w:t>
      </w:r>
      <w:r>
        <w:rPr>
          <w:rFonts w:eastAsia="Calibri"/>
          <w:sz w:val="20"/>
          <w:szCs w:val="20"/>
          <w:lang w:eastAsia="en-US"/>
        </w:rPr>
        <w:t> </w:t>
      </w:r>
      <w:r w:rsidRPr="00377C2C">
        <w:rPr>
          <w:rFonts w:eastAsia="Calibri"/>
          <w:sz w:val="20"/>
          <w:szCs w:val="20"/>
          <w:lang w:eastAsia="en-US"/>
        </w:rPr>
        <w:t>188;</w:t>
      </w:r>
    </w:p>
    <w:p w:rsidR="00377C2C" w:rsidP="006F20E0" w14:paraId="775334E9" w14:textId="458E9D6E">
      <w:pPr>
        <w:numPr>
          <w:ilvl w:val="0"/>
          <w:numId w:val="13"/>
        </w:numPr>
        <w:spacing w:line="240" w:lineRule="atLeast"/>
        <w:contextualSpacing/>
        <w:jc w:val="both"/>
        <w:rPr>
          <w:rFonts w:eastAsia="Calibri"/>
          <w:sz w:val="20"/>
          <w:szCs w:val="20"/>
          <w:lang w:eastAsia="en-US"/>
        </w:rPr>
      </w:pPr>
      <w:r>
        <w:rPr>
          <w:rFonts w:eastAsia="Calibri"/>
          <w:sz w:val="20"/>
          <w:szCs w:val="20"/>
          <w:lang w:eastAsia="en-US"/>
        </w:rPr>
        <w:t xml:space="preserve">Autoceļa </w:t>
      </w:r>
      <w:r w:rsidRPr="00377C2C">
        <w:rPr>
          <w:rFonts w:eastAsia="Calibri"/>
          <w:sz w:val="20"/>
          <w:szCs w:val="20"/>
          <w:lang w:eastAsia="en-US"/>
        </w:rPr>
        <w:t xml:space="preserve">Lejas Ančupāni - Meļņova </w:t>
      </w:r>
      <w:r>
        <w:rPr>
          <w:rFonts w:eastAsia="Calibri"/>
          <w:sz w:val="20"/>
          <w:szCs w:val="20"/>
          <w:lang w:eastAsia="en-US"/>
        </w:rPr>
        <w:t>remontdarbiem plānoti EUR 334 863;</w:t>
      </w:r>
    </w:p>
    <w:p w:rsidR="00377C2C" w:rsidP="006F20E0" w14:paraId="1C067FE2" w14:textId="042F8712">
      <w:pPr>
        <w:numPr>
          <w:ilvl w:val="0"/>
          <w:numId w:val="13"/>
        </w:numPr>
        <w:spacing w:line="240" w:lineRule="atLeast"/>
        <w:contextualSpacing/>
        <w:jc w:val="both"/>
        <w:rPr>
          <w:rFonts w:eastAsia="Calibri"/>
          <w:sz w:val="20"/>
          <w:szCs w:val="20"/>
          <w:lang w:eastAsia="en-US"/>
        </w:rPr>
      </w:pPr>
      <w:r>
        <w:rPr>
          <w:rFonts w:eastAsia="Calibri"/>
          <w:sz w:val="20"/>
          <w:szCs w:val="20"/>
          <w:lang w:eastAsia="en-US"/>
        </w:rPr>
        <w:t xml:space="preserve">Autoceļa </w:t>
      </w:r>
      <w:r w:rsidRPr="00377C2C">
        <w:rPr>
          <w:rFonts w:eastAsia="Calibri"/>
          <w:sz w:val="20"/>
          <w:szCs w:val="20"/>
          <w:lang w:eastAsia="en-US"/>
        </w:rPr>
        <w:t xml:space="preserve">Sarkaņi </w:t>
      </w:r>
      <w:r>
        <w:rPr>
          <w:rFonts w:eastAsia="Calibri"/>
          <w:sz w:val="20"/>
          <w:szCs w:val="20"/>
          <w:lang w:eastAsia="en-US"/>
        </w:rPr>
        <w:t>–</w:t>
      </w:r>
      <w:r w:rsidRPr="00377C2C">
        <w:rPr>
          <w:rFonts w:eastAsia="Calibri"/>
          <w:sz w:val="20"/>
          <w:szCs w:val="20"/>
          <w:lang w:eastAsia="en-US"/>
        </w:rPr>
        <w:t xml:space="preserve"> Skobuļnīki</w:t>
      </w:r>
      <w:r>
        <w:rPr>
          <w:rFonts w:eastAsia="Calibri"/>
          <w:sz w:val="20"/>
          <w:szCs w:val="20"/>
          <w:lang w:eastAsia="en-US"/>
        </w:rPr>
        <w:t xml:space="preserve"> remontdarbiem plānoti EUR </w:t>
      </w:r>
      <w:r w:rsidR="00C35B78">
        <w:rPr>
          <w:rFonts w:eastAsia="Calibri"/>
          <w:sz w:val="20"/>
          <w:szCs w:val="20"/>
          <w:lang w:eastAsia="en-US"/>
        </w:rPr>
        <w:t>687 512</w:t>
      </w:r>
      <w:r>
        <w:rPr>
          <w:rFonts w:eastAsia="Calibri"/>
          <w:sz w:val="20"/>
          <w:szCs w:val="20"/>
          <w:lang w:eastAsia="en-US"/>
        </w:rPr>
        <w:t>;</w:t>
      </w:r>
    </w:p>
    <w:p w:rsidR="00C35B78" w:rsidP="006F20E0" w14:paraId="3AF9648D" w14:textId="18F4348E">
      <w:pPr>
        <w:numPr>
          <w:ilvl w:val="0"/>
          <w:numId w:val="13"/>
        </w:numPr>
        <w:spacing w:line="240" w:lineRule="atLeast"/>
        <w:contextualSpacing/>
        <w:jc w:val="both"/>
        <w:rPr>
          <w:rFonts w:eastAsia="Calibri"/>
          <w:sz w:val="20"/>
          <w:szCs w:val="20"/>
          <w:lang w:eastAsia="en-US"/>
        </w:rPr>
      </w:pPr>
      <w:r>
        <w:rPr>
          <w:rFonts w:eastAsia="Calibri"/>
          <w:sz w:val="20"/>
          <w:szCs w:val="20"/>
          <w:lang w:eastAsia="en-US"/>
        </w:rPr>
        <w:t xml:space="preserve">Autoceļa </w:t>
      </w:r>
      <w:r w:rsidRPr="00C35B78">
        <w:rPr>
          <w:rFonts w:eastAsia="Calibri"/>
          <w:sz w:val="20"/>
          <w:szCs w:val="20"/>
          <w:lang w:eastAsia="en-US"/>
        </w:rPr>
        <w:t xml:space="preserve">Kaļvi </w:t>
      </w:r>
      <w:r>
        <w:rPr>
          <w:rFonts w:eastAsia="Calibri"/>
          <w:sz w:val="20"/>
          <w:szCs w:val="20"/>
          <w:lang w:eastAsia="en-US"/>
        </w:rPr>
        <w:t>–</w:t>
      </w:r>
      <w:r w:rsidRPr="00C35B78">
        <w:rPr>
          <w:rFonts w:eastAsia="Calibri"/>
          <w:sz w:val="20"/>
          <w:szCs w:val="20"/>
          <w:lang w:eastAsia="en-US"/>
        </w:rPr>
        <w:t xml:space="preserve"> Livzi</w:t>
      </w:r>
      <w:r>
        <w:rPr>
          <w:rFonts w:eastAsia="Calibri"/>
          <w:sz w:val="20"/>
          <w:szCs w:val="20"/>
          <w:lang w:eastAsia="en-US"/>
        </w:rPr>
        <w:t xml:space="preserve"> remontdarbiem plānoti EUR 447 728;</w:t>
      </w:r>
    </w:p>
    <w:p w:rsidR="00C35B78" w:rsidP="006F20E0" w14:paraId="07DA130A" w14:textId="12BEC0CD">
      <w:pPr>
        <w:numPr>
          <w:ilvl w:val="0"/>
          <w:numId w:val="13"/>
        </w:numPr>
        <w:spacing w:line="240" w:lineRule="atLeast"/>
        <w:contextualSpacing/>
        <w:jc w:val="both"/>
        <w:rPr>
          <w:rFonts w:eastAsia="Calibri"/>
          <w:sz w:val="20"/>
          <w:szCs w:val="20"/>
          <w:lang w:eastAsia="en-US"/>
        </w:rPr>
      </w:pPr>
      <w:r>
        <w:rPr>
          <w:rFonts w:eastAsia="Calibri"/>
          <w:sz w:val="20"/>
          <w:szCs w:val="20"/>
          <w:lang w:eastAsia="en-US"/>
        </w:rPr>
        <w:t xml:space="preserve">Autoceļa </w:t>
      </w:r>
      <w:r w:rsidRPr="00C35B78">
        <w:rPr>
          <w:rFonts w:eastAsia="Calibri"/>
          <w:sz w:val="20"/>
          <w:szCs w:val="20"/>
          <w:lang w:eastAsia="en-US"/>
        </w:rPr>
        <w:t xml:space="preserve">Rikava </w:t>
      </w:r>
      <w:r>
        <w:rPr>
          <w:rFonts w:eastAsia="Calibri"/>
          <w:sz w:val="20"/>
          <w:szCs w:val="20"/>
          <w:lang w:eastAsia="en-US"/>
        </w:rPr>
        <w:t>–</w:t>
      </w:r>
      <w:r w:rsidRPr="00C35B78">
        <w:rPr>
          <w:rFonts w:eastAsia="Calibri"/>
          <w:sz w:val="20"/>
          <w:szCs w:val="20"/>
          <w:lang w:eastAsia="en-US"/>
        </w:rPr>
        <w:t xml:space="preserve"> Uguļova</w:t>
      </w:r>
      <w:r>
        <w:rPr>
          <w:rFonts w:eastAsia="Calibri"/>
          <w:sz w:val="20"/>
          <w:szCs w:val="20"/>
          <w:lang w:eastAsia="en-US"/>
        </w:rPr>
        <w:t xml:space="preserve"> remontdarbiem plānoti EUR 690 441;</w:t>
      </w:r>
    </w:p>
    <w:p w:rsidR="00377C2C" w:rsidRPr="00C35B78" w:rsidP="006F20E0" w14:paraId="67F2BBBD" w14:textId="0750484C">
      <w:pPr>
        <w:numPr>
          <w:ilvl w:val="0"/>
          <w:numId w:val="13"/>
        </w:numPr>
        <w:spacing w:line="240" w:lineRule="atLeast"/>
        <w:contextualSpacing/>
        <w:jc w:val="both"/>
        <w:rPr>
          <w:rFonts w:eastAsia="Calibri"/>
          <w:sz w:val="20"/>
          <w:szCs w:val="20"/>
          <w:lang w:eastAsia="en-US"/>
        </w:rPr>
      </w:pPr>
      <w:r w:rsidRPr="00C35B78">
        <w:rPr>
          <w:rFonts w:eastAsia="Calibri"/>
          <w:sz w:val="20"/>
          <w:szCs w:val="20"/>
          <w:lang w:eastAsia="en-US"/>
        </w:rPr>
        <w:t>Remigrācijas atbalsta pasākum</w:t>
      </w:r>
      <w:r>
        <w:rPr>
          <w:rFonts w:eastAsia="Calibri"/>
          <w:sz w:val="20"/>
          <w:szCs w:val="20"/>
          <w:lang w:eastAsia="en-US"/>
        </w:rPr>
        <w:t>iem</w:t>
      </w:r>
      <w:r w:rsidRPr="00C35B78">
        <w:rPr>
          <w:rFonts w:eastAsia="Calibri"/>
          <w:sz w:val="20"/>
          <w:szCs w:val="20"/>
          <w:lang w:eastAsia="en-US"/>
        </w:rPr>
        <w:t xml:space="preserve"> - uzņēmējdarbības atbalsts</w:t>
      </w:r>
      <w:r>
        <w:rPr>
          <w:rFonts w:eastAsia="Calibri"/>
          <w:sz w:val="20"/>
          <w:szCs w:val="20"/>
          <w:lang w:eastAsia="en-US"/>
        </w:rPr>
        <w:t xml:space="preserve"> plānoti EUR 32 000;</w:t>
      </w:r>
    </w:p>
    <w:p w:rsidR="00636B5C" w:rsidRPr="00C35B78" w:rsidP="006F20E0" w14:paraId="404D283C" w14:textId="5E3924A5">
      <w:pPr>
        <w:numPr>
          <w:ilvl w:val="0"/>
          <w:numId w:val="13"/>
        </w:numPr>
        <w:spacing w:line="240" w:lineRule="atLeast"/>
        <w:contextualSpacing/>
        <w:jc w:val="both"/>
        <w:rPr>
          <w:rFonts w:eastAsia="Calibri"/>
          <w:sz w:val="20"/>
          <w:szCs w:val="20"/>
          <w:lang w:eastAsia="en-US"/>
        </w:rPr>
      </w:pPr>
      <w:r w:rsidRPr="00C35B78">
        <w:rPr>
          <w:rFonts w:eastAsia="Calibri"/>
          <w:sz w:val="20"/>
          <w:szCs w:val="20"/>
          <w:lang w:eastAsia="en-US"/>
        </w:rPr>
        <w:t>Pārējie izdevumi EUR 2</w:t>
      </w:r>
      <w:r w:rsidRPr="00C35B78" w:rsidR="00C35B78">
        <w:rPr>
          <w:rFonts w:eastAsia="Calibri"/>
          <w:sz w:val="20"/>
          <w:szCs w:val="20"/>
          <w:lang w:eastAsia="en-US"/>
        </w:rPr>
        <w:t> 258 944</w:t>
      </w:r>
      <w:r w:rsidRPr="00C35B78">
        <w:rPr>
          <w:rFonts w:eastAsia="Calibri"/>
          <w:sz w:val="20"/>
          <w:szCs w:val="20"/>
          <w:lang w:eastAsia="en-US"/>
        </w:rPr>
        <w:t xml:space="preserve"> attiecināmi uz nekustamā īpašuma sakārtošanas jautājumiem un plānotajiem projektiem apvienībās un Rēzeknes novada domē.</w:t>
      </w:r>
      <w:r w:rsidRPr="00C35B78">
        <w:rPr>
          <w:rFonts w:eastAsia="Calibri"/>
          <w:sz w:val="20"/>
          <w:szCs w:val="20"/>
          <w:lang w:eastAsia="en-US"/>
        </w:rPr>
        <w:tab/>
      </w:r>
    </w:p>
    <w:p w:rsidR="00636B5C" w:rsidRPr="00992384" w:rsidP="006F20E0" w14:paraId="6B0D4BB4" w14:textId="53D11FB4">
      <w:pPr>
        <w:spacing w:line="240" w:lineRule="atLeast"/>
        <w:ind w:firstLine="720"/>
        <w:contextualSpacing/>
        <w:jc w:val="both"/>
        <w:rPr>
          <w:rFonts w:eastAsia="Calibri"/>
          <w:sz w:val="20"/>
          <w:szCs w:val="20"/>
          <w:lang w:eastAsia="en-US"/>
        </w:rPr>
      </w:pPr>
      <w:r w:rsidRPr="00992384">
        <w:rPr>
          <w:rFonts w:eastAsia="Calibri"/>
          <w:b/>
          <w:bCs/>
          <w:sz w:val="20"/>
          <w:szCs w:val="20"/>
          <w:lang w:eastAsia="en-US"/>
        </w:rPr>
        <w:t>Vides aizsardzības</w:t>
      </w:r>
      <w:r w:rsidRPr="00992384">
        <w:rPr>
          <w:rFonts w:eastAsia="Calibri"/>
          <w:sz w:val="20"/>
          <w:szCs w:val="20"/>
          <w:lang w:eastAsia="en-US"/>
        </w:rPr>
        <w:t xml:space="preserve"> pasākumiem paredzēti  EUR </w:t>
      </w:r>
      <w:r w:rsidRPr="00992384" w:rsidR="00992384">
        <w:rPr>
          <w:rFonts w:eastAsia="Calibri"/>
          <w:sz w:val="20"/>
          <w:szCs w:val="20"/>
          <w:lang w:eastAsia="en-US"/>
        </w:rPr>
        <w:t>789 223</w:t>
      </w:r>
      <w:r w:rsidRPr="00992384">
        <w:rPr>
          <w:rFonts w:eastAsia="Calibri"/>
          <w:sz w:val="20"/>
          <w:szCs w:val="20"/>
          <w:lang w:eastAsia="en-US"/>
        </w:rPr>
        <w:t>, jeb 1.</w:t>
      </w:r>
      <w:r w:rsidRPr="00992384" w:rsidR="00992384">
        <w:rPr>
          <w:rFonts w:eastAsia="Calibri"/>
          <w:sz w:val="20"/>
          <w:szCs w:val="20"/>
          <w:lang w:eastAsia="en-US"/>
        </w:rPr>
        <w:t xml:space="preserve">21 </w:t>
      </w:r>
      <w:r w:rsidRPr="00992384">
        <w:rPr>
          <w:rFonts w:eastAsia="Calibri"/>
          <w:sz w:val="20"/>
          <w:szCs w:val="20"/>
          <w:lang w:eastAsia="en-US"/>
        </w:rPr>
        <w:t>% no kopējiem pamatbudžeta izdevumiem.</w:t>
      </w:r>
    </w:p>
    <w:p w:rsidR="00636B5C" w:rsidRPr="005C361A" w:rsidP="006F20E0" w14:paraId="781E2449" w14:textId="0F8726A6">
      <w:pPr>
        <w:spacing w:line="240" w:lineRule="atLeast"/>
        <w:ind w:firstLine="720"/>
        <w:contextualSpacing/>
        <w:jc w:val="both"/>
        <w:rPr>
          <w:rFonts w:eastAsia="Calibri"/>
          <w:b/>
          <w:sz w:val="20"/>
          <w:szCs w:val="20"/>
          <w:lang w:eastAsia="en-US"/>
        </w:rPr>
      </w:pPr>
      <w:r w:rsidRPr="005C361A">
        <w:rPr>
          <w:rFonts w:eastAsia="Calibri"/>
          <w:b/>
          <w:sz w:val="20"/>
          <w:szCs w:val="20"/>
          <w:lang w:eastAsia="en-US"/>
        </w:rPr>
        <w:t xml:space="preserve">Teritoriju un mājokļu apsaimniekošanai </w:t>
      </w:r>
      <w:r w:rsidRPr="005C361A">
        <w:rPr>
          <w:rFonts w:eastAsia="Calibri"/>
          <w:bCs/>
          <w:sz w:val="20"/>
          <w:szCs w:val="20"/>
          <w:lang w:eastAsia="en-US"/>
        </w:rPr>
        <w:t>202</w:t>
      </w:r>
      <w:r w:rsidRPr="005C361A" w:rsidR="005C361A">
        <w:rPr>
          <w:rFonts w:eastAsia="Calibri"/>
          <w:bCs/>
          <w:sz w:val="20"/>
          <w:szCs w:val="20"/>
          <w:lang w:eastAsia="en-US"/>
        </w:rPr>
        <w:t>5</w:t>
      </w:r>
      <w:r w:rsidRPr="005C361A">
        <w:rPr>
          <w:rFonts w:eastAsia="Calibri"/>
          <w:bCs/>
          <w:sz w:val="20"/>
          <w:szCs w:val="20"/>
          <w:lang w:eastAsia="en-US"/>
        </w:rPr>
        <w:t xml:space="preserve">. gadam plānoti EUR </w:t>
      </w:r>
      <w:r w:rsidRPr="005C361A" w:rsidR="005C361A">
        <w:rPr>
          <w:rFonts w:eastAsia="Calibri"/>
          <w:bCs/>
          <w:sz w:val="20"/>
          <w:szCs w:val="20"/>
          <w:lang w:eastAsia="en-US"/>
        </w:rPr>
        <w:t>6 137 528</w:t>
      </w:r>
      <w:r w:rsidRPr="005C361A">
        <w:rPr>
          <w:rFonts w:eastAsia="Calibri"/>
          <w:bCs/>
          <w:sz w:val="20"/>
          <w:szCs w:val="20"/>
          <w:lang w:eastAsia="en-US"/>
        </w:rPr>
        <w:t xml:space="preserve">, jeb </w:t>
      </w:r>
      <w:r w:rsidRPr="005C361A" w:rsidR="005C361A">
        <w:rPr>
          <w:rFonts w:eastAsia="Calibri"/>
          <w:bCs/>
          <w:sz w:val="20"/>
          <w:szCs w:val="20"/>
          <w:lang w:eastAsia="en-US"/>
        </w:rPr>
        <w:t>9.39</w:t>
      </w:r>
      <w:r w:rsidRPr="005C361A">
        <w:rPr>
          <w:rFonts w:eastAsia="Calibri"/>
          <w:bCs/>
          <w:sz w:val="20"/>
          <w:szCs w:val="20"/>
          <w:lang w:eastAsia="en-US"/>
        </w:rPr>
        <w:t xml:space="preserve">% no kopējiem pamatbudžeta izdevumiem. </w:t>
      </w:r>
      <w:r w:rsidRPr="005C361A">
        <w:rPr>
          <w:rFonts w:eastAsia="Calibri"/>
          <w:sz w:val="20"/>
          <w:szCs w:val="20"/>
          <w:lang w:eastAsia="en-US"/>
        </w:rPr>
        <w:t>Izdevumi attiecināmi uz:</w:t>
      </w:r>
    </w:p>
    <w:p w:rsidR="00636B5C" w:rsidRPr="005C361A" w:rsidP="006F20E0" w14:paraId="3762F3F0" w14:textId="0271940E">
      <w:pPr>
        <w:numPr>
          <w:ilvl w:val="0"/>
          <w:numId w:val="9"/>
        </w:numPr>
        <w:spacing w:line="240" w:lineRule="atLeast"/>
        <w:contextualSpacing/>
        <w:jc w:val="both"/>
        <w:rPr>
          <w:rFonts w:eastAsia="Calibri"/>
          <w:sz w:val="20"/>
          <w:szCs w:val="20"/>
          <w:lang w:eastAsia="en-US"/>
        </w:rPr>
      </w:pPr>
      <w:r w:rsidRPr="005C361A">
        <w:rPr>
          <w:rFonts w:eastAsia="Calibri"/>
          <w:sz w:val="20"/>
          <w:szCs w:val="20"/>
          <w:lang w:eastAsia="en-US"/>
        </w:rPr>
        <w:t xml:space="preserve">EUR </w:t>
      </w:r>
      <w:r w:rsidRPr="005C361A" w:rsidR="005C361A">
        <w:rPr>
          <w:rFonts w:eastAsia="Calibri"/>
          <w:sz w:val="20"/>
          <w:szCs w:val="20"/>
          <w:lang w:eastAsia="en-US"/>
        </w:rPr>
        <w:t>798 774</w:t>
      </w:r>
      <w:r w:rsidRPr="005C361A">
        <w:rPr>
          <w:rFonts w:eastAsia="Calibri"/>
          <w:sz w:val="20"/>
          <w:szCs w:val="20"/>
          <w:lang w:eastAsia="en-US"/>
        </w:rPr>
        <w:t xml:space="preserve"> Rēzeknes novada pašvaldības Attīstības nodaļas saimnieciskās darbības nodrošināšanai;</w:t>
      </w:r>
    </w:p>
    <w:p w:rsidR="00636B5C" w:rsidRPr="005C361A" w:rsidP="006F20E0" w14:paraId="6A351BEC" w14:textId="19281331">
      <w:pPr>
        <w:numPr>
          <w:ilvl w:val="0"/>
          <w:numId w:val="9"/>
        </w:numPr>
        <w:spacing w:line="240" w:lineRule="atLeast"/>
        <w:contextualSpacing/>
        <w:jc w:val="both"/>
        <w:rPr>
          <w:rFonts w:eastAsia="Calibri"/>
          <w:sz w:val="20"/>
          <w:szCs w:val="20"/>
          <w:lang w:eastAsia="en-US"/>
        </w:rPr>
      </w:pPr>
      <w:r w:rsidRPr="005C361A">
        <w:rPr>
          <w:rFonts w:eastAsia="Calibri"/>
          <w:sz w:val="20"/>
          <w:szCs w:val="20"/>
          <w:lang w:eastAsia="en-US"/>
        </w:rPr>
        <w:t>EUR 5</w:t>
      </w:r>
      <w:r w:rsidRPr="005C361A" w:rsidR="005C361A">
        <w:rPr>
          <w:rFonts w:eastAsia="Calibri"/>
          <w:sz w:val="20"/>
          <w:szCs w:val="20"/>
          <w:lang w:eastAsia="en-US"/>
        </w:rPr>
        <w:t xml:space="preserve">3 </w:t>
      </w:r>
      <w:r w:rsidRPr="005C361A">
        <w:rPr>
          <w:rFonts w:eastAsia="Calibri"/>
          <w:sz w:val="20"/>
          <w:szCs w:val="20"/>
          <w:lang w:eastAsia="en-US"/>
        </w:rPr>
        <w:t>000 pašvaldības neapdzīvoto dzīvokļu apsaimniekošanai;</w:t>
      </w:r>
    </w:p>
    <w:p w:rsidR="00636B5C" w:rsidP="006F20E0" w14:paraId="127D0F7E" w14:textId="68E4E230">
      <w:pPr>
        <w:numPr>
          <w:ilvl w:val="0"/>
          <w:numId w:val="9"/>
        </w:numPr>
        <w:spacing w:line="240" w:lineRule="atLeast"/>
        <w:contextualSpacing/>
        <w:jc w:val="both"/>
        <w:rPr>
          <w:rFonts w:eastAsia="Calibri"/>
          <w:sz w:val="20"/>
          <w:szCs w:val="20"/>
          <w:lang w:eastAsia="en-US"/>
        </w:rPr>
      </w:pPr>
      <w:r w:rsidRPr="005C361A">
        <w:rPr>
          <w:rFonts w:eastAsia="Calibri"/>
          <w:sz w:val="20"/>
          <w:szCs w:val="20"/>
          <w:lang w:eastAsia="en-US"/>
        </w:rPr>
        <w:t xml:space="preserve">EUR </w:t>
      </w:r>
      <w:r w:rsidRPr="005C361A" w:rsidR="005C361A">
        <w:rPr>
          <w:rFonts w:eastAsia="Calibri"/>
          <w:sz w:val="20"/>
          <w:szCs w:val="20"/>
          <w:lang w:eastAsia="en-US"/>
        </w:rPr>
        <w:t>14 500</w:t>
      </w:r>
      <w:r w:rsidRPr="005C361A">
        <w:rPr>
          <w:rFonts w:eastAsia="Calibri"/>
          <w:sz w:val="20"/>
          <w:szCs w:val="20"/>
          <w:lang w:eastAsia="en-US"/>
        </w:rPr>
        <w:t xml:space="preserve"> par klaiņojošo dzīvnieku izķeršanu un uzturēšanu;</w:t>
      </w:r>
    </w:p>
    <w:p w:rsidR="005C361A" w:rsidP="006F20E0" w14:paraId="63C3F618" w14:textId="1AB9C6AB">
      <w:pPr>
        <w:numPr>
          <w:ilvl w:val="0"/>
          <w:numId w:val="9"/>
        </w:numPr>
        <w:spacing w:line="240" w:lineRule="atLeast"/>
        <w:contextualSpacing/>
        <w:jc w:val="both"/>
        <w:rPr>
          <w:rFonts w:eastAsia="Calibri"/>
          <w:sz w:val="20"/>
          <w:szCs w:val="20"/>
          <w:lang w:eastAsia="en-US"/>
        </w:rPr>
      </w:pPr>
      <w:r>
        <w:rPr>
          <w:rFonts w:eastAsia="Calibri"/>
          <w:sz w:val="20"/>
          <w:szCs w:val="20"/>
          <w:lang w:eastAsia="en-US"/>
        </w:rPr>
        <w:t>Energoefektivitātes pasākumiem Strūžānu ciemā plānoti EUR 50 000;</w:t>
      </w:r>
    </w:p>
    <w:p w:rsidR="005C361A" w:rsidRPr="005C361A" w:rsidP="006F20E0" w14:paraId="06BF8CFF" w14:textId="04F09142">
      <w:pPr>
        <w:numPr>
          <w:ilvl w:val="0"/>
          <w:numId w:val="9"/>
        </w:numPr>
        <w:spacing w:line="240" w:lineRule="atLeast"/>
        <w:contextualSpacing/>
        <w:jc w:val="both"/>
        <w:rPr>
          <w:rFonts w:eastAsia="Calibri"/>
          <w:sz w:val="20"/>
          <w:szCs w:val="20"/>
          <w:lang w:eastAsia="en-US"/>
        </w:rPr>
      </w:pPr>
      <w:r>
        <w:rPr>
          <w:rFonts w:eastAsia="Calibri"/>
          <w:sz w:val="20"/>
          <w:szCs w:val="20"/>
          <w:lang w:eastAsia="en-US"/>
        </w:rPr>
        <w:t>Projekta “</w:t>
      </w:r>
      <w:r w:rsidRPr="005C361A">
        <w:rPr>
          <w:rFonts w:eastAsia="Calibri"/>
          <w:sz w:val="20"/>
          <w:szCs w:val="20"/>
          <w:lang w:eastAsia="en-US"/>
        </w:rPr>
        <w:t>Ēkas siltumapgādes sistēmas viedā vadība</w:t>
      </w:r>
      <w:r>
        <w:rPr>
          <w:rFonts w:eastAsia="Calibri"/>
          <w:sz w:val="20"/>
          <w:szCs w:val="20"/>
          <w:lang w:eastAsia="en-US"/>
        </w:rPr>
        <w:t>” izdevumos plānoti EUR 38 350;</w:t>
      </w:r>
    </w:p>
    <w:p w:rsidR="00636B5C" w:rsidRPr="005C361A" w:rsidP="006F20E0" w14:paraId="31417648" w14:textId="7C2BFF03">
      <w:pPr>
        <w:numPr>
          <w:ilvl w:val="0"/>
          <w:numId w:val="9"/>
        </w:numPr>
        <w:spacing w:line="240" w:lineRule="atLeast"/>
        <w:contextualSpacing/>
        <w:jc w:val="both"/>
        <w:rPr>
          <w:rFonts w:eastAsia="Calibri"/>
          <w:sz w:val="20"/>
          <w:szCs w:val="20"/>
          <w:lang w:eastAsia="en-US"/>
        </w:rPr>
      </w:pPr>
      <w:r w:rsidRPr="005C361A">
        <w:rPr>
          <w:rFonts w:eastAsia="Calibri"/>
          <w:sz w:val="20"/>
          <w:szCs w:val="20"/>
          <w:lang w:eastAsia="en-US"/>
        </w:rPr>
        <w:t xml:space="preserve">EUR </w:t>
      </w:r>
      <w:r w:rsidRPr="005C361A" w:rsidR="005C361A">
        <w:rPr>
          <w:rFonts w:eastAsia="Calibri"/>
          <w:sz w:val="20"/>
          <w:szCs w:val="20"/>
          <w:lang w:eastAsia="en-US"/>
        </w:rPr>
        <w:t xml:space="preserve">40 000 </w:t>
      </w:r>
      <w:r w:rsidRPr="005C361A">
        <w:rPr>
          <w:rFonts w:eastAsia="Calibri"/>
          <w:sz w:val="20"/>
          <w:szCs w:val="20"/>
          <w:lang w:eastAsia="en-US"/>
        </w:rPr>
        <w:t>Viļānu pilsētas ielu apgaismojumam;</w:t>
      </w:r>
    </w:p>
    <w:p w:rsidR="00636B5C" w:rsidRPr="005C361A" w:rsidP="006F20E0" w14:paraId="37637C9A" w14:textId="3B6CD434">
      <w:pPr>
        <w:numPr>
          <w:ilvl w:val="0"/>
          <w:numId w:val="9"/>
        </w:numPr>
        <w:spacing w:line="240" w:lineRule="atLeast"/>
        <w:contextualSpacing/>
        <w:jc w:val="both"/>
        <w:rPr>
          <w:rFonts w:eastAsia="Calibri"/>
          <w:sz w:val="20"/>
          <w:szCs w:val="20"/>
          <w:lang w:eastAsia="en-US"/>
        </w:rPr>
      </w:pPr>
      <w:r w:rsidRPr="005C361A">
        <w:rPr>
          <w:rFonts w:eastAsia="Calibri"/>
          <w:sz w:val="20"/>
          <w:szCs w:val="20"/>
          <w:lang w:eastAsia="en-US"/>
        </w:rPr>
        <w:t xml:space="preserve">EUR </w:t>
      </w:r>
      <w:r w:rsidRPr="005C361A" w:rsidR="005C361A">
        <w:rPr>
          <w:rFonts w:eastAsia="Calibri"/>
          <w:sz w:val="20"/>
          <w:szCs w:val="20"/>
          <w:lang w:eastAsia="en-US"/>
        </w:rPr>
        <w:t>5 142 904</w:t>
      </w:r>
      <w:r w:rsidRPr="005C361A">
        <w:rPr>
          <w:rFonts w:eastAsia="Calibri"/>
          <w:sz w:val="20"/>
          <w:szCs w:val="20"/>
          <w:lang w:eastAsia="en-US"/>
        </w:rPr>
        <w:t xml:space="preserve"> pagastu pārvalžu komunālo saimniecību darbības nodrošināšanai.</w:t>
      </w:r>
    </w:p>
    <w:p w:rsidR="00636B5C" w:rsidRPr="005C361A" w:rsidP="006F20E0" w14:paraId="7EAFEE9E" w14:textId="36B774DD">
      <w:pPr>
        <w:spacing w:line="240" w:lineRule="atLeast"/>
        <w:ind w:firstLine="720"/>
        <w:contextualSpacing/>
        <w:jc w:val="both"/>
        <w:rPr>
          <w:rFonts w:eastAsia="Calibri"/>
          <w:sz w:val="20"/>
          <w:szCs w:val="20"/>
          <w:lang w:eastAsia="en-US"/>
        </w:rPr>
      </w:pPr>
      <w:r w:rsidRPr="005C361A">
        <w:rPr>
          <w:rFonts w:eastAsia="Calibri"/>
          <w:b/>
          <w:sz w:val="20"/>
          <w:szCs w:val="20"/>
          <w:lang w:eastAsia="en-US"/>
        </w:rPr>
        <w:t xml:space="preserve">Veselības pasākumiem </w:t>
      </w:r>
      <w:r w:rsidRPr="005C361A">
        <w:rPr>
          <w:rFonts w:eastAsia="Calibri"/>
          <w:sz w:val="20"/>
          <w:szCs w:val="20"/>
          <w:lang w:eastAsia="en-US"/>
        </w:rPr>
        <w:t>Rēzeknes novada pašvaldības pagastos 202</w:t>
      </w:r>
      <w:r w:rsidRPr="005C361A" w:rsidR="005C361A">
        <w:rPr>
          <w:rFonts w:eastAsia="Calibri"/>
          <w:sz w:val="20"/>
          <w:szCs w:val="20"/>
          <w:lang w:eastAsia="en-US"/>
        </w:rPr>
        <w:t>5</w:t>
      </w:r>
      <w:r w:rsidRPr="005C361A">
        <w:rPr>
          <w:rFonts w:eastAsia="Calibri"/>
          <w:sz w:val="20"/>
          <w:szCs w:val="20"/>
          <w:lang w:eastAsia="en-US"/>
        </w:rPr>
        <w:t xml:space="preserve">. gadā plānotie izdevumi ambulatoro ārstniecības iestāžu saimnieciskās darbības nodrošināšanai kā arī VSAC “Viļāni” plānotie izdevumi sastāda EUR </w:t>
      </w:r>
      <w:r w:rsidRPr="005C361A" w:rsidR="005C361A">
        <w:rPr>
          <w:rFonts w:eastAsia="Calibri"/>
          <w:sz w:val="20"/>
          <w:szCs w:val="20"/>
          <w:lang w:eastAsia="en-US"/>
        </w:rPr>
        <w:t xml:space="preserve">1 866 889 </w:t>
      </w:r>
      <w:r w:rsidRPr="005C361A">
        <w:rPr>
          <w:rFonts w:eastAsia="Calibri"/>
          <w:sz w:val="20"/>
          <w:szCs w:val="20"/>
          <w:lang w:eastAsia="en-US"/>
        </w:rPr>
        <w:t>jeb 2.</w:t>
      </w:r>
      <w:r w:rsidRPr="005C361A" w:rsidR="005C361A">
        <w:rPr>
          <w:rFonts w:eastAsia="Calibri"/>
          <w:sz w:val="20"/>
          <w:szCs w:val="20"/>
          <w:lang w:eastAsia="en-US"/>
        </w:rPr>
        <w:t>85</w:t>
      </w:r>
      <w:r w:rsidRPr="005C361A">
        <w:rPr>
          <w:rFonts w:eastAsia="Calibri"/>
          <w:sz w:val="20"/>
          <w:szCs w:val="20"/>
          <w:lang w:eastAsia="en-US"/>
        </w:rPr>
        <w:t xml:space="preserve"> % no kopējiem pamatbudžeta izdevumiem.</w:t>
      </w:r>
    </w:p>
    <w:p w:rsidR="00636B5C" w:rsidRPr="005C361A" w:rsidP="006F20E0" w14:paraId="3E6218F6" w14:textId="6C3E4229">
      <w:pPr>
        <w:spacing w:line="240" w:lineRule="atLeast"/>
        <w:ind w:firstLine="720"/>
        <w:contextualSpacing/>
        <w:jc w:val="both"/>
        <w:rPr>
          <w:rFonts w:eastAsia="Calibri"/>
          <w:b/>
          <w:sz w:val="20"/>
          <w:szCs w:val="20"/>
          <w:lang w:eastAsia="en-US"/>
        </w:rPr>
      </w:pPr>
      <w:r w:rsidRPr="005C361A">
        <w:rPr>
          <w:rFonts w:eastAsia="Calibri"/>
          <w:b/>
          <w:sz w:val="20"/>
          <w:szCs w:val="20"/>
          <w:lang w:eastAsia="en-US"/>
        </w:rPr>
        <w:t xml:space="preserve">Kultūrai, atpūtai un sportam </w:t>
      </w:r>
      <w:r w:rsidRPr="005C361A">
        <w:rPr>
          <w:rFonts w:eastAsia="Calibri"/>
          <w:bCs/>
          <w:sz w:val="20"/>
          <w:szCs w:val="20"/>
          <w:lang w:eastAsia="en-US"/>
        </w:rPr>
        <w:t xml:space="preserve">plānoti EUR </w:t>
      </w:r>
      <w:r w:rsidRPr="005C361A" w:rsidR="005C361A">
        <w:rPr>
          <w:rFonts w:eastAsia="Calibri"/>
          <w:bCs/>
          <w:sz w:val="20"/>
          <w:szCs w:val="20"/>
          <w:lang w:eastAsia="en-US"/>
        </w:rPr>
        <w:t>5 016 424</w:t>
      </w:r>
      <w:r w:rsidRPr="005C361A">
        <w:rPr>
          <w:rFonts w:eastAsia="Calibri"/>
          <w:bCs/>
          <w:sz w:val="20"/>
          <w:szCs w:val="20"/>
          <w:lang w:eastAsia="en-US"/>
        </w:rPr>
        <w:t>, jeb 7.</w:t>
      </w:r>
      <w:r w:rsidRPr="005C361A" w:rsidR="005C361A">
        <w:rPr>
          <w:rFonts w:eastAsia="Calibri"/>
          <w:bCs/>
          <w:sz w:val="20"/>
          <w:szCs w:val="20"/>
          <w:lang w:eastAsia="en-US"/>
        </w:rPr>
        <w:t>67</w:t>
      </w:r>
      <w:r w:rsidRPr="005C361A">
        <w:rPr>
          <w:rFonts w:eastAsia="Calibri"/>
          <w:bCs/>
          <w:sz w:val="20"/>
          <w:szCs w:val="20"/>
          <w:lang w:eastAsia="en-US"/>
        </w:rPr>
        <w:t>% no kopējiem pamatbudžeta izdevumiem. Izdevumi attiecināmi uz:</w:t>
      </w:r>
    </w:p>
    <w:p w:rsidR="00636B5C" w:rsidRPr="00A85F16" w:rsidP="006F20E0" w14:paraId="54646F0E" w14:textId="011B375D">
      <w:pPr>
        <w:numPr>
          <w:ilvl w:val="0"/>
          <w:numId w:val="10"/>
        </w:numPr>
        <w:spacing w:line="240" w:lineRule="atLeast"/>
        <w:contextualSpacing/>
        <w:jc w:val="both"/>
        <w:rPr>
          <w:rFonts w:eastAsia="Calibri"/>
          <w:sz w:val="20"/>
          <w:szCs w:val="20"/>
          <w:lang w:eastAsia="en-US"/>
        </w:rPr>
      </w:pPr>
      <w:r w:rsidRPr="00A85F16">
        <w:rPr>
          <w:rFonts w:eastAsia="Calibri"/>
          <w:sz w:val="20"/>
          <w:szCs w:val="20"/>
          <w:lang w:eastAsia="en-US"/>
        </w:rPr>
        <w:t xml:space="preserve">EUR </w:t>
      </w:r>
      <w:r w:rsidRPr="00A85F16" w:rsidR="00A85F16">
        <w:rPr>
          <w:rFonts w:eastAsia="Calibri"/>
          <w:sz w:val="20"/>
          <w:szCs w:val="20"/>
          <w:lang w:eastAsia="en-US"/>
        </w:rPr>
        <w:t>1 841 475</w:t>
      </w:r>
      <w:r w:rsidRPr="00A85F16">
        <w:rPr>
          <w:rFonts w:eastAsia="Calibri"/>
          <w:sz w:val="20"/>
          <w:szCs w:val="20"/>
          <w:lang w:eastAsia="en-US"/>
        </w:rPr>
        <w:t xml:space="preserve"> Rēzeknes novada pašvaldības Kultūras un Tūrisma </w:t>
      </w:r>
      <w:r w:rsidR="0041286D">
        <w:rPr>
          <w:rFonts w:eastAsia="Calibri"/>
          <w:sz w:val="20"/>
          <w:szCs w:val="20"/>
          <w:lang w:eastAsia="en-US"/>
        </w:rPr>
        <w:t>pārvalde</w:t>
      </w:r>
      <w:r w:rsidRPr="00A85F16">
        <w:rPr>
          <w:rFonts w:eastAsia="Calibri"/>
          <w:sz w:val="20"/>
          <w:szCs w:val="20"/>
          <w:lang w:eastAsia="en-US"/>
        </w:rPr>
        <w:t>s saimnieciskās darbības nodrošināšanai;</w:t>
      </w:r>
    </w:p>
    <w:p w:rsidR="00636B5C" w:rsidRPr="00A85F16" w:rsidP="006F20E0" w14:paraId="2C055630" w14:textId="67795173">
      <w:pPr>
        <w:numPr>
          <w:ilvl w:val="0"/>
          <w:numId w:val="10"/>
        </w:numPr>
        <w:spacing w:line="240" w:lineRule="atLeast"/>
        <w:contextualSpacing/>
        <w:jc w:val="both"/>
        <w:rPr>
          <w:rFonts w:eastAsia="Calibri"/>
          <w:sz w:val="20"/>
          <w:szCs w:val="20"/>
          <w:lang w:eastAsia="en-US"/>
        </w:rPr>
      </w:pPr>
      <w:r w:rsidRPr="00A85F16">
        <w:rPr>
          <w:rFonts w:eastAsia="Calibri"/>
          <w:sz w:val="20"/>
          <w:szCs w:val="20"/>
          <w:lang w:eastAsia="en-US"/>
        </w:rPr>
        <w:t xml:space="preserve">EUR </w:t>
      </w:r>
      <w:r w:rsidR="00A85F16">
        <w:rPr>
          <w:rFonts w:eastAsia="Calibri"/>
          <w:sz w:val="20"/>
          <w:szCs w:val="20"/>
          <w:lang w:eastAsia="en-US"/>
        </w:rPr>
        <w:t>277 032</w:t>
      </w:r>
      <w:r w:rsidRPr="00A85F16">
        <w:rPr>
          <w:rFonts w:eastAsia="Calibri"/>
          <w:sz w:val="20"/>
          <w:szCs w:val="20"/>
          <w:lang w:eastAsia="en-US"/>
        </w:rPr>
        <w:t xml:space="preserve"> Rēzeknes novada pašvaldības sporta aktivitāšu nodrošināšanai;</w:t>
      </w:r>
    </w:p>
    <w:p w:rsidR="00636B5C" w:rsidRPr="00A85F16" w:rsidP="006F20E0" w14:paraId="63C82AB4" w14:textId="6E13E326">
      <w:pPr>
        <w:numPr>
          <w:ilvl w:val="0"/>
          <w:numId w:val="10"/>
        </w:numPr>
        <w:spacing w:line="240" w:lineRule="atLeast"/>
        <w:contextualSpacing/>
        <w:jc w:val="both"/>
        <w:rPr>
          <w:rFonts w:eastAsia="Calibri"/>
          <w:sz w:val="20"/>
          <w:szCs w:val="20"/>
          <w:lang w:eastAsia="en-US"/>
        </w:rPr>
      </w:pPr>
      <w:r w:rsidRPr="00A85F16">
        <w:rPr>
          <w:rFonts w:eastAsia="Calibri"/>
          <w:sz w:val="20"/>
          <w:szCs w:val="20"/>
          <w:lang w:eastAsia="en-US"/>
        </w:rPr>
        <w:t xml:space="preserve">EUR </w:t>
      </w:r>
      <w:r w:rsidRPr="00A85F16" w:rsidR="00A85F16">
        <w:rPr>
          <w:rFonts w:eastAsia="Calibri"/>
          <w:sz w:val="20"/>
          <w:szCs w:val="20"/>
          <w:lang w:eastAsia="en-US"/>
        </w:rPr>
        <w:t>281 340</w:t>
      </w:r>
      <w:r w:rsidRPr="00A85F16">
        <w:rPr>
          <w:rFonts w:eastAsia="Calibri"/>
          <w:sz w:val="20"/>
          <w:szCs w:val="20"/>
          <w:lang w:eastAsia="en-US"/>
        </w:rPr>
        <w:t xml:space="preserve"> bibliotēku uzturēšanai pagastos;</w:t>
      </w:r>
    </w:p>
    <w:p w:rsidR="00636B5C" w:rsidRPr="00A85F16" w:rsidP="006F20E0" w14:paraId="111B2F3C" w14:textId="20E2A67E">
      <w:pPr>
        <w:numPr>
          <w:ilvl w:val="0"/>
          <w:numId w:val="10"/>
        </w:numPr>
        <w:spacing w:line="240" w:lineRule="atLeast"/>
        <w:contextualSpacing/>
        <w:jc w:val="both"/>
        <w:rPr>
          <w:rFonts w:eastAsia="Calibri"/>
          <w:sz w:val="20"/>
          <w:szCs w:val="20"/>
          <w:lang w:eastAsia="en-US"/>
        </w:rPr>
      </w:pPr>
      <w:r w:rsidRPr="00A85F16">
        <w:rPr>
          <w:rFonts w:eastAsia="Calibri"/>
          <w:sz w:val="20"/>
          <w:szCs w:val="20"/>
          <w:lang w:eastAsia="en-US"/>
        </w:rPr>
        <w:t xml:space="preserve">EUR </w:t>
      </w:r>
      <w:r w:rsidRPr="00A85F16" w:rsidR="00A85F16">
        <w:rPr>
          <w:rFonts w:eastAsia="Calibri"/>
          <w:sz w:val="20"/>
          <w:szCs w:val="20"/>
          <w:lang w:eastAsia="en-US"/>
        </w:rPr>
        <w:t>1 463 115</w:t>
      </w:r>
      <w:r w:rsidRPr="00A85F16">
        <w:rPr>
          <w:rFonts w:eastAsia="Calibri"/>
          <w:sz w:val="20"/>
          <w:szCs w:val="20"/>
          <w:lang w:eastAsia="en-US"/>
        </w:rPr>
        <w:t xml:space="preserve"> kultūras namu uzturēšanai pagastos;</w:t>
      </w:r>
    </w:p>
    <w:p w:rsidR="00636B5C" w:rsidRPr="00A85F16" w:rsidP="006F20E0" w14:paraId="5AEFBD3A" w14:textId="42896E83">
      <w:pPr>
        <w:numPr>
          <w:ilvl w:val="0"/>
          <w:numId w:val="10"/>
        </w:numPr>
        <w:spacing w:line="240" w:lineRule="atLeast"/>
        <w:contextualSpacing/>
        <w:jc w:val="both"/>
        <w:rPr>
          <w:rFonts w:eastAsia="Calibri"/>
          <w:sz w:val="20"/>
          <w:szCs w:val="20"/>
          <w:lang w:eastAsia="en-US"/>
        </w:rPr>
      </w:pPr>
      <w:r w:rsidRPr="00A85F16">
        <w:rPr>
          <w:rFonts w:eastAsia="Calibri"/>
          <w:sz w:val="20"/>
          <w:szCs w:val="20"/>
          <w:lang w:eastAsia="en-US"/>
        </w:rPr>
        <w:t xml:space="preserve">EUR </w:t>
      </w:r>
      <w:r w:rsidRPr="00A85F16" w:rsidR="00A85F16">
        <w:rPr>
          <w:rFonts w:eastAsia="Calibri"/>
          <w:sz w:val="20"/>
          <w:szCs w:val="20"/>
          <w:lang w:eastAsia="en-US"/>
        </w:rPr>
        <w:t>86 402</w:t>
      </w:r>
      <w:r w:rsidRPr="00A85F16">
        <w:rPr>
          <w:rFonts w:eastAsia="Calibri"/>
          <w:sz w:val="20"/>
          <w:szCs w:val="20"/>
          <w:lang w:eastAsia="en-US"/>
        </w:rPr>
        <w:t xml:space="preserve"> muzeju uzturēšanai pagastos;</w:t>
      </w:r>
    </w:p>
    <w:p w:rsidR="00636B5C" w:rsidRPr="00A85F16" w:rsidP="006F20E0" w14:paraId="3A3B4F42" w14:textId="0F1C31BE">
      <w:pPr>
        <w:numPr>
          <w:ilvl w:val="0"/>
          <w:numId w:val="10"/>
        </w:numPr>
        <w:spacing w:line="240" w:lineRule="atLeast"/>
        <w:contextualSpacing/>
        <w:jc w:val="both"/>
        <w:rPr>
          <w:rFonts w:eastAsia="Calibri"/>
          <w:sz w:val="20"/>
          <w:szCs w:val="20"/>
          <w:lang w:eastAsia="en-US"/>
        </w:rPr>
      </w:pPr>
      <w:r w:rsidRPr="00A85F16">
        <w:rPr>
          <w:rFonts w:eastAsia="Calibri"/>
          <w:sz w:val="20"/>
          <w:szCs w:val="20"/>
          <w:lang w:eastAsia="en-US"/>
        </w:rPr>
        <w:t xml:space="preserve">EUR </w:t>
      </w:r>
      <w:r w:rsidRPr="00A85F16" w:rsidR="00A85F16">
        <w:rPr>
          <w:rFonts w:eastAsia="Calibri"/>
          <w:sz w:val="20"/>
          <w:szCs w:val="20"/>
          <w:lang w:eastAsia="en-US"/>
        </w:rPr>
        <w:t>153 196</w:t>
      </w:r>
      <w:r w:rsidRPr="00A85F16">
        <w:rPr>
          <w:rFonts w:eastAsia="Calibri"/>
          <w:sz w:val="20"/>
          <w:szCs w:val="20"/>
          <w:lang w:eastAsia="en-US"/>
        </w:rPr>
        <w:t xml:space="preserve"> Lūznavas muižas uzturēšanai Lūznavas pagastā;</w:t>
      </w:r>
    </w:p>
    <w:p w:rsidR="00636B5C" w:rsidRPr="00A85F16" w:rsidP="006F20E0" w14:paraId="45DF4DE8" w14:textId="7F10C8FE">
      <w:pPr>
        <w:numPr>
          <w:ilvl w:val="0"/>
          <w:numId w:val="10"/>
        </w:numPr>
        <w:spacing w:line="240" w:lineRule="atLeast"/>
        <w:contextualSpacing/>
        <w:jc w:val="both"/>
        <w:rPr>
          <w:rFonts w:eastAsia="Calibri"/>
          <w:sz w:val="20"/>
          <w:szCs w:val="20"/>
          <w:lang w:eastAsia="en-US"/>
        </w:rPr>
      </w:pPr>
      <w:r w:rsidRPr="00A85F16">
        <w:rPr>
          <w:sz w:val="20"/>
          <w:szCs w:val="20"/>
        </w:rPr>
        <w:t>Maltas apvienības pārvaldes Maltas bibliotēkas ēkas energoefektivitātes uzlabošana EUR 317</w:t>
      </w:r>
      <w:r w:rsidR="00A85F16">
        <w:rPr>
          <w:sz w:val="20"/>
          <w:szCs w:val="20"/>
        </w:rPr>
        <w:t> </w:t>
      </w:r>
      <w:r w:rsidRPr="00A85F16">
        <w:rPr>
          <w:sz w:val="20"/>
          <w:szCs w:val="20"/>
        </w:rPr>
        <w:t>341</w:t>
      </w:r>
      <w:r w:rsidR="00A85F16">
        <w:rPr>
          <w:sz w:val="20"/>
          <w:szCs w:val="20"/>
        </w:rPr>
        <w:t>;</w:t>
      </w:r>
    </w:p>
    <w:p w:rsidR="00A85F16" w:rsidP="006F20E0" w14:paraId="720344ED" w14:textId="72A2D18D">
      <w:pPr>
        <w:numPr>
          <w:ilvl w:val="0"/>
          <w:numId w:val="10"/>
        </w:numPr>
        <w:spacing w:line="240" w:lineRule="atLeast"/>
        <w:contextualSpacing/>
        <w:jc w:val="both"/>
        <w:rPr>
          <w:rFonts w:eastAsia="Calibri"/>
          <w:sz w:val="20"/>
          <w:szCs w:val="20"/>
          <w:lang w:eastAsia="en-US"/>
        </w:rPr>
      </w:pPr>
      <w:r w:rsidRPr="00A85F16">
        <w:rPr>
          <w:rFonts w:eastAsia="Calibri"/>
          <w:sz w:val="20"/>
          <w:szCs w:val="20"/>
          <w:lang w:eastAsia="en-US"/>
        </w:rPr>
        <w:t>Nagļu tautas nama, t. sk. apvienības pārvaldes ēkas energoefektivitātes uzlabošana</w:t>
      </w:r>
      <w:r>
        <w:rPr>
          <w:rFonts w:eastAsia="Calibri"/>
          <w:sz w:val="20"/>
          <w:szCs w:val="20"/>
          <w:lang w:eastAsia="en-US"/>
        </w:rPr>
        <w:t xml:space="preserve"> EUR 290 077;</w:t>
      </w:r>
    </w:p>
    <w:p w:rsidR="00A85F16" w:rsidRPr="00A85F16" w:rsidP="006F20E0" w14:paraId="283C6F02" w14:textId="3194885A">
      <w:pPr>
        <w:numPr>
          <w:ilvl w:val="0"/>
          <w:numId w:val="10"/>
        </w:numPr>
        <w:spacing w:line="240" w:lineRule="atLeast"/>
        <w:contextualSpacing/>
        <w:jc w:val="both"/>
        <w:rPr>
          <w:rFonts w:eastAsia="Calibri"/>
          <w:sz w:val="20"/>
          <w:szCs w:val="20"/>
          <w:lang w:eastAsia="en-US"/>
        </w:rPr>
      </w:pPr>
      <w:r w:rsidRPr="00A85F16">
        <w:rPr>
          <w:rFonts w:eastAsia="Calibri"/>
          <w:sz w:val="20"/>
          <w:szCs w:val="20"/>
          <w:lang w:eastAsia="en-US"/>
        </w:rPr>
        <w:t>Štikānu kultūras nama siltin</w:t>
      </w:r>
      <w:r>
        <w:rPr>
          <w:rFonts w:eastAsia="Calibri"/>
          <w:sz w:val="20"/>
          <w:szCs w:val="20"/>
          <w:lang w:eastAsia="en-US"/>
        </w:rPr>
        <w:t>āšana EUR 209 999;</w:t>
      </w:r>
    </w:p>
    <w:p w:rsidR="00636B5C" w:rsidRPr="00A85F16" w:rsidP="006F20E0" w14:paraId="22BCA12A" w14:textId="1E1FE004">
      <w:pPr>
        <w:numPr>
          <w:ilvl w:val="0"/>
          <w:numId w:val="10"/>
        </w:numPr>
        <w:spacing w:line="240" w:lineRule="atLeast"/>
        <w:contextualSpacing/>
        <w:jc w:val="both"/>
        <w:rPr>
          <w:rFonts w:eastAsia="Calibri"/>
          <w:sz w:val="20"/>
          <w:szCs w:val="20"/>
          <w:lang w:eastAsia="en-US"/>
        </w:rPr>
      </w:pPr>
      <w:r w:rsidRPr="00A85F16">
        <w:rPr>
          <w:rFonts w:eastAsia="Calibri"/>
          <w:sz w:val="20"/>
          <w:szCs w:val="20"/>
          <w:lang w:eastAsia="en-US"/>
        </w:rPr>
        <w:t xml:space="preserve">u.c. izdevumi sastāda EUR </w:t>
      </w:r>
      <w:r w:rsidRPr="00A85F16" w:rsidR="00A85F16">
        <w:rPr>
          <w:rFonts w:eastAsia="Calibri"/>
          <w:sz w:val="20"/>
          <w:szCs w:val="20"/>
          <w:lang w:eastAsia="en-US"/>
        </w:rPr>
        <w:t>96 447.</w:t>
      </w:r>
    </w:p>
    <w:p w:rsidR="00636B5C" w:rsidRPr="00603553" w:rsidP="006F20E0" w14:paraId="397F809B" w14:textId="47E9C86F">
      <w:pPr>
        <w:spacing w:line="240" w:lineRule="atLeast"/>
        <w:ind w:firstLine="720"/>
        <w:contextualSpacing/>
        <w:jc w:val="both"/>
        <w:rPr>
          <w:rFonts w:eastAsia="Calibri"/>
          <w:b/>
          <w:sz w:val="20"/>
          <w:szCs w:val="20"/>
          <w:lang w:eastAsia="en-US"/>
        </w:rPr>
      </w:pPr>
      <w:r w:rsidRPr="00603553">
        <w:rPr>
          <w:rFonts w:eastAsia="Calibri"/>
          <w:b/>
          <w:sz w:val="20"/>
          <w:szCs w:val="20"/>
          <w:lang w:eastAsia="en-US"/>
        </w:rPr>
        <w:t xml:space="preserve">Izglītības </w:t>
      </w:r>
      <w:r w:rsidRPr="00603553">
        <w:rPr>
          <w:rFonts w:eastAsia="Calibri"/>
          <w:bCs/>
          <w:sz w:val="20"/>
          <w:szCs w:val="20"/>
          <w:lang w:eastAsia="en-US"/>
        </w:rPr>
        <w:t>nodrošināšanai Rēzeknes novada pašvaldībā 202</w:t>
      </w:r>
      <w:r w:rsidRPr="00603553" w:rsidR="00603553">
        <w:rPr>
          <w:rFonts w:eastAsia="Calibri"/>
          <w:bCs/>
          <w:sz w:val="20"/>
          <w:szCs w:val="20"/>
          <w:lang w:eastAsia="en-US"/>
        </w:rPr>
        <w:t>5</w:t>
      </w:r>
      <w:r w:rsidRPr="00603553">
        <w:rPr>
          <w:rFonts w:eastAsia="Calibri"/>
          <w:bCs/>
          <w:sz w:val="20"/>
          <w:szCs w:val="20"/>
          <w:lang w:eastAsia="en-US"/>
        </w:rPr>
        <w:t xml:space="preserve">. gadam tiek plānoti EUR </w:t>
      </w:r>
      <w:r w:rsidRPr="00603553" w:rsidR="00603553">
        <w:rPr>
          <w:rFonts w:eastAsia="Calibri"/>
          <w:bCs/>
          <w:sz w:val="20"/>
          <w:szCs w:val="20"/>
          <w:lang w:eastAsia="en-US"/>
        </w:rPr>
        <w:t>24 325 074</w:t>
      </w:r>
      <w:r w:rsidRPr="00603553">
        <w:rPr>
          <w:rFonts w:eastAsia="Calibri"/>
          <w:bCs/>
          <w:sz w:val="20"/>
          <w:szCs w:val="20"/>
          <w:lang w:eastAsia="en-US"/>
        </w:rPr>
        <w:t xml:space="preserve">, jeb </w:t>
      </w:r>
      <w:r w:rsidRPr="00603553" w:rsidR="00603553">
        <w:rPr>
          <w:rFonts w:eastAsia="Calibri"/>
          <w:bCs/>
          <w:sz w:val="20"/>
          <w:szCs w:val="20"/>
          <w:lang w:eastAsia="en-US"/>
        </w:rPr>
        <w:t>37.20</w:t>
      </w:r>
      <w:r w:rsidRPr="00603553">
        <w:rPr>
          <w:rFonts w:eastAsia="Calibri"/>
          <w:bCs/>
          <w:sz w:val="20"/>
          <w:szCs w:val="20"/>
          <w:lang w:eastAsia="en-US"/>
        </w:rPr>
        <w:t>% no kopējiem pamatbudžeta izdevumiem. Izdevumi ietver:</w:t>
      </w:r>
    </w:p>
    <w:p w:rsidR="00636B5C" w:rsidRPr="00B9130D" w:rsidP="006F20E0" w14:paraId="6B75848F" w14:textId="2E99E270">
      <w:pPr>
        <w:numPr>
          <w:ilvl w:val="0"/>
          <w:numId w:val="15"/>
        </w:numPr>
        <w:spacing w:line="240" w:lineRule="atLeast"/>
        <w:contextualSpacing/>
        <w:jc w:val="both"/>
        <w:rPr>
          <w:rFonts w:eastAsia="Calibri"/>
          <w:sz w:val="20"/>
          <w:szCs w:val="20"/>
          <w:lang w:eastAsia="en-US"/>
        </w:rPr>
      </w:pPr>
      <w:r w:rsidRPr="00B9130D">
        <w:rPr>
          <w:rFonts w:eastAsia="Calibri"/>
          <w:sz w:val="20"/>
          <w:szCs w:val="20"/>
          <w:lang w:eastAsia="en-US"/>
        </w:rPr>
        <w:t>EUR 6</w:t>
      </w:r>
      <w:r w:rsidRPr="00B9130D" w:rsidR="00B9130D">
        <w:rPr>
          <w:rFonts w:eastAsia="Calibri"/>
          <w:sz w:val="20"/>
          <w:szCs w:val="20"/>
          <w:lang w:eastAsia="en-US"/>
        </w:rPr>
        <w:t>49 906</w:t>
      </w:r>
      <w:r w:rsidRPr="00B9130D">
        <w:rPr>
          <w:rFonts w:eastAsia="Calibri"/>
          <w:sz w:val="20"/>
          <w:szCs w:val="20"/>
          <w:lang w:eastAsia="en-US"/>
        </w:rPr>
        <w:t xml:space="preserve"> Rēzeknes novada pašvaldības Izglītības </w:t>
      </w:r>
      <w:r w:rsidR="0041286D">
        <w:rPr>
          <w:rFonts w:eastAsia="Calibri"/>
          <w:sz w:val="20"/>
          <w:szCs w:val="20"/>
          <w:lang w:eastAsia="en-US"/>
        </w:rPr>
        <w:t xml:space="preserve">un sporta </w:t>
      </w:r>
      <w:r w:rsidRPr="00B9130D">
        <w:rPr>
          <w:rFonts w:eastAsia="Calibri"/>
          <w:sz w:val="20"/>
          <w:szCs w:val="20"/>
          <w:lang w:eastAsia="en-US"/>
        </w:rPr>
        <w:t>pārvaldes saimnieciskās darbības nodrošināšanai;</w:t>
      </w:r>
    </w:p>
    <w:p w:rsidR="00636B5C" w:rsidRPr="00B9130D" w:rsidP="006F20E0" w14:paraId="166B6261" w14:textId="59BF60D4">
      <w:pPr>
        <w:numPr>
          <w:ilvl w:val="0"/>
          <w:numId w:val="15"/>
        </w:numPr>
        <w:spacing w:line="240" w:lineRule="atLeast"/>
        <w:contextualSpacing/>
        <w:jc w:val="both"/>
        <w:rPr>
          <w:rFonts w:eastAsia="Calibri"/>
          <w:sz w:val="20"/>
          <w:szCs w:val="20"/>
          <w:lang w:eastAsia="en-US"/>
        </w:rPr>
      </w:pPr>
      <w:r w:rsidRPr="00B9130D">
        <w:rPr>
          <w:rFonts w:eastAsia="Calibri"/>
          <w:sz w:val="20"/>
          <w:szCs w:val="20"/>
          <w:lang w:eastAsia="en-US"/>
        </w:rPr>
        <w:t xml:space="preserve">EUR </w:t>
      </w:r>
      <w:r w:rsidRPr="00B9130D" w:rsidR="00B9130D">
        <w:rPr>
          <w:rFonts w:eastAsia="Calibri"/>
          <w:sz w:val="20"/>
          <w:szCs w:val="20"/>
          <w:lang w:eastAsia="en-US"/>
        </w:rPr>
        <w:t>542 530</w:t>
      </w:r>
      <w:r w:rsidRPr="00B9130D">
        <w:rPr>
          <w:rFonts w:eastAsia="Calibri"/>
          <w:sz w:val="20"/>
          <w:szCs w:val="20"/>
          <w:lang w:eastAsia="en-US"/>
        </w:rPr>
        <w:t xml:space="preserve"> Rēzeknes novada sporta skolas saimnieciskās darbības nodrošināšanai;</w:t>
      </w:r>
    </w:p>
    <w:p w:rsidR="00636B5C" w:rsidRPr="00B9130D" w:rsidP="006F20E0" w14:paraId="30A9E39A" w14:textId="332033A1">
      <w:pPr>
        <w:numPr>
          <w:ilvl w:val="0"/>
          <w:numId w:val="15"/>
        </w:numPr>
        <w:spacing w:line="240" w:lineRule="atLeast"/>
        <w:contextualSpacing/>
        <w:jc w:val="both"/>
        <w:rPr>
          <w:rFonts w:eastAsia="Calibri"/>
          <w:sz w:val="20"/>
          <w:szCs w:val="20"/>
          <w:lang w:eastAsia="en-US"/>
        </w:rPr>
      </w:pPr>
      <w:r w:rsidRPr="00B9130D">
        <w:rPr>
          <w:rFonts w:eastAsia="Calibri"/>
          <w:sz w:val="20"/>
          <w:szCs w:val="20"/>
          <w:lang w:eastAsia="en-US"/>
        </w:rPr>
        <w:t xml:space="preserve">EUR </w:t>
      </w:r>
      <w:r w:rsidR="005D08CC">
        <w:rPr>
          <w:rFonts w:eastAsia="Calibri"/>
          <w:sz w:val="20"/>
          <w:szCs w:val="20"/>
          <w:lang w:eastAsia="en-US"/>
        </w:rPr>
        <w:t>5 537 398</w:t>
      </w:r>
      <w:r w:rsidRPr="00B9130D">
        <w:rPr>
          <w:rFonts w:eastAsia="Calibri"/>
          <w:sz w:val="20"/>
          <w:szCs w:val="20"/>
          <w:lang w:eastAsia="en-US"/>
        </w:rPr>
        <w:t xml:space="preserve"> pirmskolas izglītības iestāžu pedagogu darba samaksai un saimnieciskās darbības nodrošināšanai;</w:t>
      </w:r>
    </w:p>
    <w:p w:rsidR="00636B5C" w:rsidRPr="00B9130D" w:rsidP="006F20E0" w14:paraId="008D65EA" w14:textId="09563AC8">
      <w:pPr>
        <w:numPr>
          <w:ilvl w:val="0"/>
          <w:numId w:val="15"/>
        </w:numPr>
        <w:spacing w:line="240" w:lineRule="atLeast"/>
        <w:contextualSpacing/>
        <w:jc w:val="both"/>
        <w:rPr>
          <w:rFonts w:eastAsia="Calibri"/>
          <w:sz w:val="20"/>
          <w:szCs w:val="20"/>
          <w:lang w:eastAsia="en-US"/>
        </w:rPr>
      </w:pPr>
      <w:r w:rsidRPr="00B9130D">
        <w:rPr>
          <w:rFonts w:eastAsia="Calibri"/>
          <w:sz w:val="20"/>
          <w:szCs w:val="20"/>
          <w:lang w:eastAsia="en-US"/>
        </w:rPr>
        <w:t>EUR 1</w:t>
      </w:r>
      <w:r w:rsidRPr="00B9130D" w:rsidR="00B9130D">
        <w:rPr>
          <w:rFonts w:eastAsia="Calibri"/>
          <w:sz w:val="20"/>
          <w:szCs w:val="20"/>
          <w:lang w:eastAsia="en-US"/>
        </w:rPr>
        <w:t>0 299 326</w:t>
      </w:r>
      <w:r w:rsidRPr="00B9130D">
        <w:rPr>
          <w:rFonts w:eastAsia="Calibri"/>
          <w:sz w:val="20"/>
          <w:szCs w:val="20"/>
          <w:lang w:eastAsia="en-US"/>
        </w:rPr>
        <w:t xml:space="preserve"> vispārējās izglītības mācību iestāžu pedagogu darba samaksai un saimnieciskās darbības nodrošināšanai;</w:t>
      </w:r>
    </w:p>
    <w:p w:rsidR="00636B5C" w:rsidRPr="00B9130D" w:rsidP="006F20E0" w14:paraId="4B8B62C0" w14:textId="0AFCF814">
      <w:pPr>
        <w:numPr>
          <w:ilvl w:val="0"/>
          <w:numId w:val="15"/>
        </w:numPr>
        <w:spacing w:line="240" w:lineRule="atLeast"/>
        <w:contextualSpacing/>
        <w:jc w:val="both"/>
        <w:rPr>
          <w:rFonts w:eastAsia="Calibri"/>
          <w:sz w:val="20"/>
          <w:szCs w:val="20"/>
          <w:lang w:eastAsia="en-US"/>
        </w:rPr>
      </w:pPr>
      <w:r w:rsidRPr="00B9130D">
        <w:rPr>
          <w:rFonts w:eastAsia="Calibri"/>
          <w:sz w:val="20"/>
          <w:szCs w:val="20"/>
          <w:lang w:eastAsia="en-US"/>
        </w:rPr>
        <w:t>EUR 5</w:t>
      </w:r>
      <w:r w:rsidRPr="00B9130D" w:rsidR="00B9130D">
        <w:rPr>
          <w:rFonts w:eastAsia="Calibri"/>
          <w:sz w:val="20"/>
          <w:szCs w:val="20"/>
          <w:lang w:eastAsia="en-US"/>
        </w:rPr>
        <w:t>81 166</w:t>
      </w:r>
      <w:r w:rsidRPr="00B9130D">
        <w:rPr>
          <w:rFonts w:eastAsia="Calibri"/>
          <w:sz w:val="20"/>
          <w:szCs w:val="20"/>
          <w:lang w:eastAsia="en-US"/>
        </w:rPr>
        <w:t xml:space="preserve"> mūzikas skolu pedagogu darba samaksai un saimnieciskās darbības nodrošināšanai;</w:t>
      </w:r>
    </w:p>
    <w:p w:rsidR="00636B5C" w:rsidRPr="00B9130D" w:rsidP="006F20E0" w14:paraId="3D58480D" w14:textId="729E3457">
      <w:pPr>
        <w:numPr>
          <w:ilvl w:val="0"/>
          <w:numId w:val="15"/>
        </w:numPr>
        <w:spacing w:line="240" w:lineRule="atLeast"/>
        <w:contextualSpacing/>
        <w:jc w:val="both"/>
        <w:rPr>
          <w:rFonts w:eastAsia="Calibri"/>
          <w:sz w:val="20"/>
          <w:szCs w:val="20"/>
          <w:lang w:eastAsia="en-US"/>
        </w:rPr>
      </w:pPr>
      <w:r w:rsidRPr="00B9130D">
        <w:rPr>
          <w:rFonts w:eastAsia="Calibri"/>
          <w:sz w:val="20"/>
          <w:szCs w:val="20"/>
          <w:lang w:eastAsia="en-US"/>
        </w:rPr>
        <w:t xml:space="preserve">EUR </w:t>
      </w:r>
      <w:r w:rsidR="005D08CC">
        <w:rPr>
          <w:rFonts w:eastAsia="Calibri"/>
          <w:sz w:val="20"/>
          <w:szCs w:val="20"/>
          <w:lang w:eastAsia="en-US"/>
        </w:rPr>
        <w:t>518 105</w:t>
      </w:r>
      <w:r w:rsidRPr="00B9130D">
        <w:rPr>
          <w:rFonts w:eastAsia="Calibri"/>
          <w:sz w:val="20"/>
          <w:szCs w:val="20"/>
          <w:lang w:eastAsia="en-US"/>
        </w:rPr>
        <w:t xml:space="preserve"> interešu un profesionālās ievirzes izglītībai;</w:t>
      </w:r>
    </w:p>
    <w:p w:rsidR="00636B5C" w:rsidRPr="00B9130D" w:rsidP="006F20E0" w14:paraId="7ED0FA07" w14:textId="6CEB0C90">
      <w:pPr>
        <w:numPr>
          <w:ilvl w:val="0"/>
          <w:numId w:val="11"/>
        </w:numPr>
        <w:spacing w:line="240" w:lineRule="atLeast"/>
        <w:contextualSpacing/>
        <w:jc w:val="both"/>
        <w:rPr>
          <w:rFonts w:eastAsia="Calibri"/>
          <w:sz w:val="20"/>
          <w:szCs w:val="20"/>
          <w:lang w:eastAsia="en-US"/>
        </w:rPr>
      </w:pPr>
      <w:r w:rsidRPr="00B9130D">
        <w:rPr>
          <w:rFonts w:eastAsia="Calibri"/>
          <w:sz w:val="20"/>
          <w:szCs w:val="20"/>
          <w:lang w:eastAsia="en-US"/>
        </w:rPr>
        <w:t xml:space="preserve">EUR </w:t>
      </w:r>
      <w:r w:rsidRPr="00B9130D" w:rsidR="00B9130D">
        <w:rPr>
          <w:rFonts w:eastAsia="Calibri"/>
          <w:sz w:val="20"/>
          <w:szCs w:val="20"/>
          <w:lang w:eastAsia="en-US"/>
        </w:rPr>
        <w:t>1 800 000</w:t>
      </w:r>
      <w:r w:rsidRPr="00B9130D">
        <w:rPr>
          <w:rFonts w:eastAsia="Calibri"/>
          <w:sz w:val="20"/>
          <w:szCs w:val="20"/>
          <w:lang w:eastAsia="en-US"/>
        </w:rPr>
        <w:t xml:space="preserve"> pašvaldību uzturēšanas izdevumu transferti citām pašvaldībām;</w:t>
      </w:r>
    </w:p>
    <w:p w:rsidR="00636B5C" w:rsidRPr="00B9130D" w:rsidP="006F20E0" w14:paraId="3214E08B" w14:textId="2158871E">
      <w:pPr>
        <w:numPr>
          <w:ilvl w:val="0"/>
          <w:numId w:val="11"/>
        </w:numPr>
        <w:spacing w:line="240" w:lineRule="atLeast"/>
        <w:contextualSpacing/>
        <w:jc w:val="both"/>
        <w:rPr>
          <w:rFonts w:eastAsia="Calibri"/>
          <w:sz w:val="20"/>
          <w:szCs w:val="20"/>
          <w:lang w:eastAsia="en-US"/>
        </w:rPr>
      </w:pPr>
      <w:r w:rsidRPr="00B9130D">
        <w:rPr>
          <w:sz w:val="20"/>
          <w:szCs w:val="20"/>
        </w:rPr>
        <w:t xml:space="preserve">EUR </w:t>
      </w:r>
      <w:r w:rsidRPr="00B9130D" w:rsidR="00B9130D">
        <w:rPr>
          <w:sz w:val="20"/>
          <w:szCs w:val="20"/>
        </w:rPr>
        <w:t>70 750</w:t>
      </w:r>
      <w:r w:rsidRPr="00B9130D">
        <w:rPr>
          <w:sz w:val="20"/>
          <w:szCs w:val="20"/>
        </w:rPr>
        <w:t xml:space="preserve"> mācību līdzekļu iegādei no valsts mērķdotācijas;</w:t>
      </w:r>
    </w:p>
    <w:p w:rsidR="00636B5C" w:rsidRPr="00B9130D" w:rsidP="006F20E0" w14:paraId="65F71407" w14:textId="2991EA07">
      <w:pPr>
        <w:numPr>
          <w:ilvl w:val="0"/>
          <w:numId w:val="11"/>
        </w:numPr>
        <w:spacing w:line="240" w:lineRule="atLeast"/>
        <w:contextualSpacing/>
        <w:jc w:val="both"/>
        <w:rPr>
          <w:rFonts w:eastAsia="Calibri"/>
          <w:sz w:val="20"/>
          <w:szCs w:val="20"/>
          <w:lang w:eastAsia="en-US"/>
        </w:rPr>
      </w:pPr>
      <w:r w:rsidRPr="00B9130D">
        <w:rPr>
          <w:sz w:val="20"/>
          <w:szCs w:val="20"/>
        </w:rPr>
        <w:t>EUR 41</w:t>
      </w:r>
      <w:r w:rsidRPr="00B9130D" w:rsidR="00B9130D">
        <w:rPr>
          <w:sz w:val="20"/>
          <w:szCs w:val="20"/>
        </w:rPr>
        <w:t xml:space="preserve"> 402 </w:t>
      </w:r>
      <w:r w:rsidRPr="00B9130D">
        <w:rPr>
          <w:sz w:val="20"/>
          <w:szCs w:val="20"/>
        </w:rPr>
        <w:t>izglītības asistentu nodrošināšanai;</w:t>
      </w:r>
    </w:p>
    <w:p w:rsidR="00636B5C" w:rsidRPr="00B9130D" w:rsidP="006F20E0" w14:paraId="52C84116" w14:textId="10D4F970">
      <w:pPr>
        <w:numPr>
          <w:ilvl w:val="0"/>
          <w:numId w:val="11"/>
        </w:numPr>
        <w:spacing w:line="240" w:lineRule="atLeast"/>
        <w:contextualSpacing/>
        <w:jc w:val="both"/>
        <w:rPr>
          <w:rFonts w:eastAsia="Calibri"/>
          <w:sz w:val="20"/>
          <w:szCs w:val="20"/>
          <w:lang w:eastAsia="en-US"/>
        </w:rPr>
      </w:pPr>
      <w:r w:rsidRPr="00B9130D">
        <w:rPr>
          <w:sz w:val="20"/>
          <w:szCs w:val="20"/>
        </w:rPr>
        <w:t xml:space="preserve">Skolēnu pārvadājumiem plānoti EUR </w:t>
      </w:r>
      <w:r w:rsidRPr="00B9130D" w:rsidR="00B9130D">
        <w:rPr>
          <w:sz w:val="20"/>
          <w:szCs w:val="20"/>
        </w:rPr>
        <w:t>1 369 327</w:t>
      </w:r>
      <w:r w:rsidRPr="00B9130D">
        <w:rPr>
          <w:sz w:val="20"/>
          <w:szCs w:val="20"/>
        </w:rPr>
        <w:t>;</w:t>
      </w:r>
    </w:p>
    <w:p w:rsidR="00636B5C" w:rsidRPr="005D08CC" w:rsidP="006F20E0" w14:paraId="6775BC16" w14:textId="77684939">
      <w:pPr>
        <w:numPr>
          <w:ilvl w:val="0"/>
          <w:numId w:val="11"/>
        </w:numPr>
        <w:spacing w:line="240" w:lineRule="atLeast"/>
        <w:contextualSpacing/>
        <w:jc w:val="both"/>
        <w:rPr>
          <w:rFonts w:eastAsia="Calibri"/>
          <w:sz w:val="20"/>
          <w:szCs w:val="20"/>
          <w:lang w:eastAsia="en-US"/>
        </w:rPr>
      </w:pPr>
      <w:r w:rsidRPr="005D08CC">
        <w:rPr>
          <w:sz w:val="20"/>
          <w:szCs w:val="20"/>
        </w:rPr>
        <w:t>3 elektroautobusu iegādi EUR 1 959 725;</w:t>
      </w:r>
    </w:p>
    <w:p w:rsidR="00636B5C" w:rsidRPr="005D08CC" w:rsidP="006F20E0" w14:paraId="2ABD82B1" w14:textId="720B4107">
      <w:pPr>
        <w:numPr>
          <w:ilvl w:val="0"/>
          <w:numId w:val="11"/>
        </w:numPr>
        <w:spacing w:line="240" w:lineRule="atLeast"/>
        <w:contextualSpacing/>
        <w:jc w:val="both"/>
        <w:rPr>
          <w:rFonts w:eastAsia="Calibri"/>
          <w:sz w:val="20"/>
          <w:szCs w:val="20"/>
          <w:lang w:eastAsia="en-US"/>
        </w:rPr>
      </w:pPr>
      <w:r w:rsidRPr="005D08CC">
        <w:rPr>
          <w:rFonts w:eastAsia="Calibri"/>
          <w:sz w:val="20"/>
          <w:szCs w:val="20"/>
          <w:lang w:eastAsia="en-US"/>
        </w:rPr>
        <w:t xml:space="preserve">Viļānu PII ēkas energoefektivitātes paaugstināšanai EUR </w:t>
      </w:r>
      <w:r w:rsidRPr="005D08CC" w:rsidR="005D08CC">
        <w:rPr>
          <w:rFonts w:eastAsia="Calibri"/>
          <w:sz w:val="20"/>
          <w:szCs w:val="20"/>
          <w:lang w:eastAsia="en-US"/>
        </w:rPr>
        <w:t>623 310</w:t>
      </w:r>
      <w:r w:rsidRPr="005D08CC">
        <w:rPr>
          <w:rFonts w:eastAsia="Calibri"/>
          <w:sz w:val="20"/>
          <w:szCs w:val="20"/>
          <w:lang w:eastAsia="en-US"/>
        </w:rPr>
        <w:t>;</w:t>
      </w:r>
    </w:p>
    <w:tbl>
      <w:tblPr>
        <w:tblW w:w="5000" w:type="pct"/>
        <w:tblCellMar>
          <w:left w:w="0" w:type="dxa"/>
          <w:right w:w="0" w:type="dxa"/>
        </w:tblCellMar>
        <w:tblLook w:val="04A0"/>
      </w:tblPr>
      <w:tblGrid>
        <w:gridCol w:w="4677"/>
        <w:gridCol w:w="4677"/>
      </w:tblGrid>
      <w:tr w14:paraId="61705A62" w14:textId="77777777" w:rsidTr="00E505A2">
        <w:tblPrEx>
          <w:tblW w:w="5000" w:type="pct"/>
          <w:tblCellMar>
            <w:left w:w="0" w:type="dxa"/>
            <w:right w:w="0" w:type="dxa"/>
          </w:tblCellMar>
          <w:tblLook w:val="04A0"/>
        </w:tblPrEx>
        <w:trPr>
          <w:trHeight w:val="63"/>
        </w:trPr>
        <w:tc>
          <w:tcPr>
            <w:tcW w:w="0" w:type="auto"/>
            <w:vAlign w:val="center"/>
            <w:hideMark/>
          </w:tcPr>
          <w:p w:rsidR="00636B5C" w:rsidRPr="005D08CC" w:rsidP="006F20E0" w14:paraId="434B8CF4" w14:textId="77777777">
            <w:pPr>
              <w:spacing w:line="240" w:lineRule="atLeast"/>
              <w:contextualSpacing/>
              <w:rPr>
                <w:sz w:val="20"/>
                <w:szCs w:val="20"/>
              </w:rPr>
            </w:pPr>
          </w:p>
        </w:tc>
        <w:tc>
          <w:tcPr>
            <w:tcW w:w="0" w:type="auto"/>
            <w:vAlign w:val="center"/>
            <w:hideMark/>
          </w:tcPr>
          <w:p w:rsidR="00636B5C" w:rsidRPr="005D08CC" w:rsidP="006F20E0" w14:paraId="446B3F83" w14:textId="77777777">
            <w:pPr>
              <w:spacing w:line="240" w:lineRule="atLeast"/>
              <w:contextualSpacing/>
              <w:rPr>
                <w:sz w:val="20"/>
                <w:szCs w:val="20"/>
              </w:rPr>
            </w:pPr>
          </w:p>
        </w:tc>
      </w:tr>
    </w:tbl>
    <w:p w:rsidR="00636B5C" w:rsidRPr="005D08CC" w:rsidP="006F20E0" w14:paraId="51B618CC" w14:textId="10221D76">
      <w:pPr>
        <w:numPr>
          <w:ilvl w:val="0"/>
          <w:numId w:val="11"/>
        </w:numPr>
        <w:spacing w:line="240" w:lineRule="atLeast"/>
        <w:contextualSpacing/>
        <w:jc w:val="both"/>
        <w:rPr>
          <w:rFonts w:eastAsia="Calibri"/>
          <w:sz w:val="20"/>
          <w:szCs w:val="20"/>
          <w:lang w:eastAsia="en-US"/>
        </w:rPr>
      </w:pPr>
      <w:r w:rsidRPr="005D08CC">
        <w:rPr>
          <w:rFonts w:eastAsia="Calibri"/>
          <w:sz w:val="20"/>
          <w:szCs w:val="20"/>
          <w:lang w:eastAsia="en-US"/>
        </w:rPr>
        <w:t xml:space="preserve">u.c. izdevumi sastāda EUR </w:t>
      </w:r>
      <w:r w:rsidRPr="005D08CC" w:rsidR="005D08CC">
        <w:rPr>
          <w:rFonts w:eastAsia="Calibri"/>
          <w:sz w:val="20"/>
          <w:szCs w:val="20"/>
          <w:lang w:eastAsia="en-US"/>
        </w:rPr>
        <w:t>332 129</w:t>
      </w:r>
      <w:r w:rsidRPr="005D08CC">
        <w:rPr>
          <w:rFonts w:eastAsia="Calibri"/>
          <w:sz w:val="20"/>
          <w:szCs w:val="20"/>
          <w:lang w:eastAsia="en-US"/>
        </w:rPr>
        <w:t xml:space="preserve"> (t.sk. Izglītības pārvaldes plānotie projekti 202</w:t>
      </w:r>
      <w:r w:rsidRPr="005D08CC" w:rsidR="005D08CC">
        <w:rPr>
          <w:rFonts w:eastAsia="Calibri"/>
          <w:sz w:val="20"/>
          <w:szCs w:val="20"/>
          <w:lang w:eastAsia="en-US"/>
        </w:rPr>
        <w:t>5</w:t>
      </w:r>
      <w:r w:rsidRPr="005D08CC">
        <w:rPr>
          <w:rFonts w:eastAsia="Calibri"/>
          <w:sz w:val="20"/>
          <w:szCs w:val="20"/>
          <w:lang w:eastAsia="en-US"/>
        </w:rPr>
        <w:t>. gadam).</w:t>
      </w:r>
    </w:p>
    <w:p w:rsidR="00636B5C" w:rsidRPr="004D6324" w:rsidP="006F20E0" w14:paraId="51E23A93" w14:textId="7D304F82">
      <w:pPr>
        <w:spacing w:line="240" w:lineRule="atLeast"/>
        <w:ind w:firstLine="720"/>
        <w:contextualSpacing/>
        <w:jc w:val="both"/>
        <w:rPr>
          <w:rFonts w:eastAsia="Calibri"/>
          <w:b/>
          <w:sz w:val="20"/>
          <w:szCs w:val="20"/>
          <w:lang w:eastAsia="en-US"/>
        </w:rPr>
      </w:pPr>
      <w:r w:rsidRPr="004D6324">
        <w:rPr>
          <w:rFonts w:eastAsia="Calibri"/>
          <w:b/>
          <w:sz w:val="20"/>
          <w:szCs w:val="20"/>
          <w:lang w:eastAsia="en-US"/>
        </w:rPr>
        <w:t xml:space="preserve">Sociālajai aizsardzībai </w:t>
      </w:r>
      <w:r w:rsidRPr="004D6324">
        <w:rPr>
          <w:rFonts w:eastAsia="Calibri"/>
          <w:bCs/>
          <w:sz w:val="20"/>
          <w:szCs w:val="20"/>
          <w:lang w:eastAsia="en-US"/>
        </w:rPr>
        <w:t xml:space="preserve">plānoti izdevumi EUR </w:t>
      </w:r>
      <w:r w:rsidRPr="004D6324" w:rsidR="004D6324">
        <w:rPr>
          <w:rFonts w:eastAsia="Calibri"/>
          <w:bCs/>
          <w:sz w:val="20"/>
          <w:szCs w:val="20"/>
          <w:lang w:eastAsia="en-US"/>
        </w:rPr>
        <w:t>9 472 748</w:t>
      </w:r>
      <w:r w:rsidRPr="004D6324">
        <w:rPr>
          <w:rFonts w:eastAsia="Calibri"/>
          <w:bCs/>
          <w:sz w:val="20"/>
          <w:szCs w:val="20"/>
          <w:lang w:eastAsia="en-US"/>
        </w:rPr>
        <w:t>, jeb 14.</w:t>
      </w:r>
      <w:r w:rsidRPr="004D6324" w:rsidR="004D6324">
        <w:rPr>
          <w:rFonts w:eastAsia="Calibri"/>
          <w:bCs/>
          <w:sz w:val="20"/>
          <w:szCs w:val="20"/>
          <w:lang w:eastAsia="en-US"/>
        </w:rPr>
        <w:t xml:space="preserve">49 </w:t>
      </w:r>
      <w:r w:rsidRPr="004D6324">
        <w:rPr>
          <w:rFonts w:eastAsia="Calibri"/>
          <w:bCs/>
          <w:sz w:val="20"/>
          <w:szCs w:val="20"/>
          <w:lang w:eastAsia="en-US"/>
        </w:rPr>
        <w:t>% no kopējiem pamatbudžeta izdevumiem. Izdevumi ietver sekojošas pozīcijas:</w:t>
      </w:r>
    </w:p>
    <w:p w:rsidR="00636B5C" w:rsidRPr="004D6324" w:rsidP="006F20E0" w14:paraId="6EEE0BE4" w14:textId="39C6199B">
      <w:pPr>
        <w:numPr>
          <w:ilvl w:val="0"/>
          <w:numId w:val="16"/>
        </w:numPr>
        <w:spacing w:line="240" w:lineRule="atLeast"/>
        <w:contextualSpacing/>
        <w:jc w:val="both"/>
        <w:rPr>
          <w:rFonts w:eastAsia="Calibri"/>
          <w:b/>
          <w:sz w:val="20"/>
          <w:szCs w:val="20"/>
          <w:lang w:eastAsia="en-US"/>
        </w:rPr>
      </w:pPr>
      <w:r w:rsidRPr="004D6324">
        <w:rPr>
          <w:rFonts w:eastAsia="Calibri"/>
          <w:sz w:val="20"/>
          <w:szCs w:val="20"/>
          <w:lang w:eastAsia="en-US"/>
        </w:rPr>
        <w:t xml:space="preserve">Rēzeknes novada pašvaldības Bāriņtiesu saimnieciskās darbības nodrošināšanai EUR </w:t>
      </w:r>
      <w:r w:rsidRPr="004D6324" w:rsidR="004D6324">
        <w:rPr>
          <w:rFonts w:eastAsia="Calibri"/>
          <w:sz w:val="20"/>
          <w:szCs w:val="20"/>
          <w:lang w:eastAsia="en-US"/>
        </w:rPr>
        <w:t>282 065</w:t>
      </w:r>
      <w:r w:rsidRPr="004D6324">
        <w:rPr>
          <w:rFonts w:eastAsia="Calibri"/>
          <w:sz w:val="20"/>
          <w:szCs w:val="20"/>
          <w:lang w:eastAsia="en-US"/>
        </w:rPr>
        <w:t>;</w:t>
      </w:r>
    </w:p>
    <w:p w:rsidR="00636B5C" w:rsidRPr="004D6324" w:rsidP="006F20E0" w14:paraId="3D4B18A6" w14:textId="060D8063">
      <w:pPr>
        <w:numPr>
          <w:ilvl w:val="0"/>
          <w:numId w:val="16"/>
        </w:numPr>
        <w:spacing w:line="240" w:lineRule="atLeast"/>
        <w:contextualSpacing/>
        <w:jc w:val="both"/>
        <w:rPr>
          <w:rFonts w:eastAsia="Calibri"/>
          <w:bCs/>
          <w:sz w:val="20"/>
          <w:szCs w:val="20"/>
          <w:lang w:eastAsia="en-US"/>
        </w:rPr>
      </w:pPr>
      <w:r w:rsidRPr="004D6324">
        <w:rPr>
          <w:rFonts w:eastAsia="Calibri"/>
          <w:bCs/>
          <w:sz w:val="20"/>
          <w:szCs w:val="20"/>
          <w:lang w:eastAsia="en-US"/>
        </w:rPr>
        <w:t xml:space="preserve">Sociālās aprūpes asistentu darba nodrošināšanai plānoti EUR </w:t>
      </w:r>
      <w:r w:rsidRPr="004D6324" w:rsidR="004D6324">
        <w:rPr>
          <w:rFonts w:eastAsia="Calibri"/>
          <w:bCs/>
          <w:sz w:val="20"/>
          <w:szCs w:val="20"/>
          <w:lang w:eastAsia="en-US"/>
        </w:rPr>
        <w:t>993 027</w:t>
      </w:r>
      <w:r w:rsidRPr="004D6324">
        <w:rPr>
          <w:rFonts w:eastAsia="Calibri"/>
          <w:bCs/>
          <w:sz w:val="20"/>
          <w:szCs w:val="20"/>
          <w:lang w:eastAsia="en-US"/>
        </w:rPr>
        <w:t>;</w:t>
      </w:r>
    </w:p>
    <w:p w:rsidR="00636B5C" w:rsidRPr="00686728" w:rsidP="006F20E0" w14:paraId="04FD64A9" w14:textId="3F5FA1AE">
      <w:pPr>
        <w:numPr>
          <w:ilvl w:val="0"/>
          <w:numId w:val="16"/>
        </w:numPr>
        <w:spacing w:line="240" w:lineRule="atLeast"/>
        <w:contextualSpacing/>
        <w:jc w:val="both"/>
        <w:rPr>
          <w:rFonts w:eastAsia="Calibri"/>
          <w:bCs/>
          <w:sz w:val="20"/>
          <w:szCs w:val="20"/>
          <w:lang w:eastAsia="en-US"/>
        </w:rPr>
      </w:pPr>
      <w:r w:rsidRPr="00686728">
        <w:rPr>
          <w:rFonts w:eastAsia="Calibri"/>
          <w:bCs/>
          <w:sz w:val="20"/>
          <w:szCs w:val="20"/>
          <w:lang w:eastAsia="en-US"/>
        </w:rPr>
        <w:t xml:space="preserve">Rēzeknes novada pašvaldības sociālā dienesta darbības nodrošināšanai plānoti EUR </w:t>
      </w:r>
      <w:r w:rsidRPr="00686728" w:rsidR="004D6324">
        <w:rPr>
          <w:rFonts w:eastAsia="Calibri"/>
          <w:bCs/>
          <w:sz w:val="20"/>
          <w:szCs w:val="20"/>
          <w:lang w:eastAsia="en-US"/>
        </w:rPr>
        <w:t>5 334 445</w:t>
      </w:r>
      <w:r w:rsidRPr="00686728">
        <w:rPr>
          <w:rFonts w:eastAsia="Calibri"/>
          <w:bCs/>
          <w:sz w:val="20"/>
          <w:szCs w:val="20"/>
          <w:lang w:eastAsia="en-US"/>
        </w:rPr>
        <w:t xml:space="preserve">, t. sk. dažādu veidu pabalstiem plānoti EUR </w:t>
      </w:r>
      <w:r w:rsidR="00686728">
        <w:rPr>
          <w:rFonts w:eastAsia="Calibri"/>
          <w:bCs/>
          <w:sz w:val="20"/>
          <w:szCs w:val="20"/>
          <w:lang w:eastAsia="en-US"/>
        </w:rPr>
        <w:t>3 690 541;</w:t>
      </w:r>
    </w:p>
    <w:p w:rsidR="00636B5C" w:rsidRPr="00686728" w:rsidP="006F20E0" w14:paraId="080B5E65" w14:textId="6B8906CB">
      <w:pPr>
        <w:numPr>
          <w:ilvl w:val="0"/>
          <w:numId w:val="16"/>
        </w:numPr>
        <w:spacing w:line="240" w:lineRule="atLeast"/>
        <w:contextualSpacing/>
        <w:jc w:val="both"/>
        <w:rPr>
          <w:rFonts w:eastAsia="Calibri"/>
          <w:bCs/>
          <w:sz w:val="20"/>
          <w:szCs w:val="20"/>
          <w:lang w:eastAsia="en-US"/>
        </w:rPr>
      </w:pPr>
      <w:r w:rsidRPr="00686728">
        <w:rPr>
          <w:rFonts w:eastAsia="Calibri"/>
          <w:bCs/>
          <w:sz w:val="20"/>
          <w:szCs w:val="20"/>
          <w:lang w:eastAsia="en-US"/>
        </w:rPr>
        <w:t>Sociāla rakstura Rēzeknes novada pašvaldības iestāžu darbības nodrošināšanai plānoti līdzekļi EUR</w:t>
      </w:r>
      <w:r w:rsidRPr="00686728" w:rsidR="004D6324">
        <w:rPr>
          <w:rFonts w:eastAsia="Calibri"/>
          <w:bCs/>
          <w:sz w:val="20"/>
          <w:szCs w:val="20"/>
          <w:lang w:eastAsia="en-US"/>
        </w:rPr>
        <w:t xml:space="preserve"> 2 650 861</w:t>
      </w:r>
      <w:r w:rsidRPr="00686728">
        <w:rPr>
          <w:rFonts w:eastAsia="Calibri"/>
          <w:bCs/>
          <w:sz w:val="20"/>
          <w:szCs w:val="20"/>
          <w:lang w:eastAsia="en-US"/>
        </w:rPr>
        <w:t xml:space="preserve"> apmērā (Rēzeknes novada sociālās aprūpes centrs, Daudzfunkcionālais sociālo pakalpojumu centrs "Vecružina" ).</w:t>
      </w:r>
    </w:p>
    <w:p w:rsidR="00636B5C" w:rsidRPr="00686728" w:rsidP="006F20E0" w14:paraId="3731089B" w14:textId="3D4072A5">
      <w:pPr>
        <w:numPr>
          <w:ilvl w:val="0"/>
          <w:numId w:val="16"/>
        </w:numPr>
        <w:spacing w:line="240" w:lineRule="atLeast"/>
        <w:contextualSpacing/>
        <w:jc w:val="both"/>
        <w:rPr>
          <w:rFonts w:eastAsia="Calibri"/>
          <w:bCs/>
          <w:sz w:val="20"/>
          <w:szCs w:val="20"/>
          <w:lang w:eastAsia="en-US"/>
        </w:rPr>
      </w:pPr>
      <w:r w:rsidRPr="00686728">
        <w:rPr>
          <w:rFonts w:eastAsia="Calibri"/>
          <w:bCs/>
          <w:sz w:val="20"/>
          <w:szCs w:val="20"/>
          <w:lang w:eastAsia="en-US"/>
        </w:rPr>
        <w:t xml:space="preserve">Atbalsts Ukrainas civiliedzīvotājiem EUR </w:t>
      </w:r>
      <w:r w:rsidRPr="00686728" w:rsidR="004D6324">
        <w:rPr>
          <w:rFonts w:eastAsia="Calibri"/>
          <w:bCs/>
          <w:sz w:val="20"/>
          <w:szCs w:val="20"/>
          <w:lang w:eastAsia="en-US"/>
        </w:rPr>
        <w:t>212 350</w:t>
      </w:r>
      <w:r w:rsidRPr="00686728">
        <w:rPr>
          <w:rFonts w:eastAsia="Calibri"/>
          <w:bCs/>
          <w:sz w:val="20"/>
          <w:szCs w:val="20"/>
          <w:lang w:eastAsia="en-US"/>
        </w:rPr>
        <w:t>;</w:t>
      </w:r>
    </w:p>
    <w:p w:rsidR="00636B5C" w:rsidRPr="00686728" w:rsidP="006F20E0" w14:paraId="5233F37C" w14:textId="77777777">
      <w:pPr>
        <w:spacing w:line="240" w:lineRule="atLeast"/>
        <w:ind w:firstLine="720"/>
        <w:contextualSpacing/>
        <w:jc w:val="both"/>
        <w:rPr>
          <w:rFonts w:eastAsia="Calibri"/>
          <w:b/>
          <w:sz w:val="20"/>
          <w:szCs w:val="20"/>
          <w:lang w:eastAsia="en-US"/>
        </w:rPr>
      </w:pPr>
      <w:r w:rsidRPr="00686728">
        <w:rPr>
          <w:rFonts w:eastAsia="Calibri"/>
          <w:b/>
          <w:sz w:val="20"/>
          <w:szCs w:val="20"/>
          <w:lang w:eastAsia="en-US"/>
        </w:rPr>
        <w:t>Programma turpmākajiem 2 saimnieciskajiem gadiem</w:t>
      </w:r>
    </w:p>
    <w:p w:rsidR="00636B5C" w:rsidRPr="00686728" w:rsidP="006F20E0" w14:paraId="2E10C22D" w14:textId="77777777">
      <w:pPr>
        <w:spacing w:line="240" w:lineRule="atLeast"/>
        <w:ind w:firstLine="720"/>
        <w:contextualSpacing/>
        <w:jc w:val="both"/>
        <w:rPr>
          <w:rFonts w:eastAsia="Calibri"/>
          <w:bCs/>
          <w:sz w:val="20"/>
          <w:szCs w:val="20"/>
          <w:lang w:eastAsia="en-US"/>
        </w:rPr>
      </w:pPr>
      <w:r w:rsidRPr="00686728">
        <w:rPr>
          <w:rFonts w:eastAsia="Calibri"/>
          <w:bCs/>
          <w:sz w:val="20"/>
          <w:szCs w:val="20"/>
          <w:lang w:eastAsia="en-US"/>
        </w:rPr>
        <w:t xml:space="preserve">Turpmākajos divos saimnieciskajos gados plānots pievērst uzmanību sociālajai politikai, izglītības jomai, vides labiekārtošanai un infrastruktūras attīstībai. </w:t>
      </w:r>
    </w:p>
    <w:p w:rsidR="00636B5C" w:rsidRPr="00686728" w:rsidP="006F20E0" w14:paraId="53F601ED" w14:textId="77777777">
      <w:pPr>
        <w:spacing w:line="240" w:lineRule="atLeast"/>
        <w:ind w:firstLine="720"/>
        <w:contextualSpacing/>
        <w:jc w:val="both"/>
        <w:rPr>
          <w:rFonts w:eastAsia="Calibri"/>
          <w:sz w:val="20"/>
          <w:szCs w:val="20"/>
          <w:lang w:eastAsia="en-US"/>
        </w:rPr>
      </w:pPr>
      <w:r w:rsidRPr="00686728">
        <w:rPr>
          <w:rFonts w:eastAsia="Calibri"/>
          <w:sz w:val="20"/>
          <w:szCs w:val="20"/>
          <w:lang w:eastAsia="en-US"/>
        </w:rPr>
        <w:t>Tiks turpināti iesāktie, kā arī tiks realizēti jauni projekti. Tie ir:</w:t>
      </w:r>
    </w:p>
    <w:p w:rsidR="00636B5C" w:rsidRPr="00686728" w:rsidP="006F20E0" w14:paraId="1FB4C92D" w14:textId="77777777">
      <w:pPr>
        <w:numPr>
          <w:ilvl w:val="0"/>
          <w:numId w:val="17"/>
        </w:numPr>
        <w:spacing w:line="240" w:lineRule="atLeast"/>
        <w:contextualSpacing/>
        <w:jc w:val="both"/>
        <w:rPr>
          <w:rFonts w:eastAsia="Calibri"/>
          <w:sz w:val="20"/>
          <w:szCs w:val="20"/>
          <w:lang w:eastAsia="en-US"/>
        </w:rPr>
      </w:pPr>
      <w:r w:rsidRPr="00686728">
        <w:rPr>
          <w:rFonts w:eastAsia="Calibri"/>
          <w:sz w:val="20"/>
          <w:szCs w:val="20"/>
          <w:lang w:eastAsia="en-US"/>
        </w:rPr>
        <w:t>Europe Direct;</w:t>
      </w:r>
    </w:p>
    <w:p w:rsidR="00636B5C" w:rsidP="006F20E0" w14:paraId="75968249" w14:textId="77777777">
      <w:pPr>
        <w:numPr>
          <w:ilvl w:val="0"/>
          <w:numId w:val="17"/>
        </w:numPr>
        <w:spacing w:line="240" w:lineRule="atLeast"/>
        <w:contextualSpacing/>
        <w:jc w:val="both"/>
        <w:rPr>
          <w:rFonts w:eastAsia="Calibri"/>
          <w:sz w:val="20"/>
          <w:szCs w:val="20"/>
          <w:lang w:eastAsia="en-US"/>
        </w:rPr>
      </w:pPr>
      <w:r w:rsidRPr="00686728">
        <w:rPr>
          <w:rFonts w:eastAsia="Calibri"/>
          <w:sz w:val="20"/>
          <w:szCs w:val="20"/>
          <w:lang w:eastAsia="en-US"/>
        </w:rPr>
        <w:t>Valsts un pašvaldību vienotie klientu apkalpošanas centri;</w:t>
      </w:r>
    </w:p>
    <w:p w:rsidR="00686728" w:rsidP="006F20E0" w14:paraId="37456992" w14:textId="761D2863">
      <w:pPr>
        <w:numPr>
          <w:ilvl w:val="0"/>
          <w:numId w:val="17"/>
        </w:numPr>
        <w:spacing w:line="240" w:lineRule="atLeast"/>
        <w:contextualSpacing/>
        <w:jc w:val="both"/>
        <w:rPr>
          <w:rFonts w:eastAsia="Calibri"/>
          <w:sz w:val="20"/>
          <w:szCs w:val="20"/>
          <w:lang w:eastAsia="en-US"/>
        </w:rPr>
      </w:pPr>
      <w:r w:rsidRPr="00686728">
        <w:rPr>
          <w:rFonts w:eastAsia="Calibri"/>
          <w:sz w:val="20"/>
          <w:szCs w:val="20"/>
          <w:lang w:eastAsia="en-US"/>
        </w:rPr>
        <w:t xml:space="preserve">Naturally </w:t>
      </w:r>
      <w:r>
        <w:rPr>
          <w:rFonts w:eastAsia="Calibri"/>
          <w:sz w:val="20"/>
          <w:szCs w:val="20"/>
          <w:lang w:eastAsia="en-US"/>
        </w:rPr>
        <w:t>L</w:t>
      </w:r>
      <w:r w:rsidRPr="00686728">
        <w:rPr>
          <w:rFonts w:eastAsia="Calibri"/>
          <w:sz w:val="20"/>
          <w:szCs w:val="20"/>
          <w:lang w:eastAsia="en-US"/>
        </w:rPr>
        <w:t>ocal</w:t>
      </w:r>
      <w:r>
        <w:rPr>
          <w:rFonts w:eastAsia="Calibri"/>
          <w:sz w:val="20"/>
          <w:szCs w:val="20"/>
          <w:lang w:eastAsia="en-US"/>
        </w:rPr>
        <w:t>;</w:t>
      </w:r>
    </w:p>
    <w:p w:rsidR="00686728" w:rsidP="006F20E0" w14:paraId="2DB193CA" w14:textId="3E8D6995">
      <w:pPr>
        <w:numPr>
          <w:ilvl w:val="0"/>
          <w:numId w:val="17"/>
        </w:numPr>
        <w:spacing w:line="240" w:lineRule="atLeast"/>
        <w:contextualSpacing/>
        <w:jc w:val="both"/>
        <w:rPr>
          <w:rFonts w:eastAsia="Calibri"/>
          <w:sz w:val="20"/>
          <w:szCs w:val="20"/>
          <w:lang w:eastAsia="en-US"/>
        </w:rPr>
      </w:pPr>
      <w:r w:rsidRPr="00686728">
        <w:rPr>
          <w:rFonts w:eastAsia="Calibri"/>
          <w:sz w:val="20"/>
          <w:szCs w:val="20"/>
          <w:lang w:eastAsia="en-US"/>
        </w:rPr>
        <w:t>Dzīvo veselīgi</w:t>
      </w:r>
      <w:r>
        <w:rPr>
          <w:rFonts w:eastAsia="Calibri"/>
          <w:sz w:val="20"/>
          <w:szCs w:val="20"/>
          <w:lang w:eastAsia="en-US"/>
        </w:rPr>
        <w:t>;</w:t>
      </w:r>
    </w:p>
    <w:p w:rsidR="00686728" w:rsidP="006F20E0" w14:paraId="5EA4C189" w14:textId="034601FA">
      <w:pPr>
        <w:numPr>
          <w:ilvl w:val="0"/>
          <w:numId w:val="17"/>
        </w:numPr>
        <w:spacing w:line="240" w:lineRule="atLeast"/>
        <w:contextualSpacing/>
        <w:jc w:val="both"/>
        <w:rPr>
          <w:rFonts w:eastAsia="Calibri"/>
          <w:sz w:val="20"/>
          <w:szCs w:val="20"/>
          <w:lang w:eastAsia="en-US"/>
        </w:rPr>
      </w:pPr>
      <w:r>
        <w:rPr>
          <w:rFonts w:eastAsia="Calibri"/>
          <w:sz w:val="20"/>
          <w:szCs w:val="20"/>
          <w:lang w:eastAsia="en-US"/>
        </w:rPr>
        <w:t xml:space="preserve">Autoceļu </w:t>
      </w:r>
      <w:r w:rsidRPr="00686728">
        <w:rPr>
          <w:rFonts w:eastAsia="Calibri"/>
          <w:sz w:val="20"/>
          <w:szCs w:val="20"/>
          <w:lang w:eastAsia="en-US"/>
        </w:rPr>
        <w:t xml:space="preserve">Dekšāres - Obelišķas </w:t>
      </w:r>
      <w:r>
        <w:rPr>
          <w:rFonts w:eastAsia="Calibri"/>
          <w:sz w:val="20"/>
          <w:szCs w:val="20"/>
          <w:lang w:eastAsia="en-US"/>
        </w:rPr>
        <w:t>–</w:t>
      </w:r>
      <w:r w:rsidRPr="00686728">
        <w:rPr>
          <w:rFonts w:eastAsia="Calibri"/>
          <w:sz w:val="20"/>
          <w:szCs w:val="20"/>
          <w:lang w:eastAsia="en-US"/>
        </w:rPr>
        <w:t xml:space="preserve"> Dzelzceļš</w:t>
      </w:r>
      <w:r>
        <w:rPr>
          <w:rFonts w:eastAsia="Calibri"/>
          <w:sz w:val="20"/>
          <w:szCs w:val="20"/>
          <w:lang w:eastAsia="en-US"/>
        </w:rPr>
        <w:t xml:space="preserve">, </w:t>
      </w:r>
      <w:r w:rsidRPr="00686728">
        <w:rPr>
          <w:rFonts w:eastAsia="Calibri"/>
          <w:sz w:val="20"/>
          <w:szCs w:val="20"/>
          <w:lang w:eastAsia="en-US"/>
        </w:rPr>
        <w:t>Nagļu ceļš - Lejas dzirnavas - Ku</w:t>
      </w:r>
      <w:r>
        <w:rPr>
          <w:rFonts w:eastAsia="Calibri"/>
          <w:sz w:val="20"/>
          <w:szCs w:val="20"/>
          <w:lang w:eastAsia="en-US"/>
        </w:rPr>
        <w:t>c</w:t>
      </w:r>
      <w:r w:rsidRPr="00686728">
        <w:rPr>
          <w:rFonts w:eastAsia="Calibri"/>
          <w:sz w:val="20"/>
          <w:szCs w:val="20"/>
          <w:lang w:eastAsia="en-US"/>
        </w:rPr>
        <w:t>es kalns</w:t>
      </w:r>
      <w:r>
        <w:rPr>
          <w:rFonts w:eastAsia="Calibri"/>
          <w:sz w:val="20"/>
          <w:szCs w:val="20"/>
          <w:lang w:eastAsia="en-US"/>
        </w:rPr>
        <w:t xml:space="preserve">, </w:t>
      </w:r>
      <w:r w:rsidRPr="00686728">
        <w:rPr>
          <w:rFonts w:eastAsia="Calibri"/>
          <w:sz w:val="20"/>
          <w:szCs w:val="20"/>
          <w:lang w:eastAsia="en-US"/>
        </w:rPr>
        <w:t>Skolas iela</w:t>
      </w:r>
      <w:r>
        <w:rPr>
          <w:rFonts w:eastAsia="Calibri"/>
          <w:sz w:val="20"/>
          <w:szCs w:val="20"/>
          <w:lang w:eastAsia="en-US"/>
        </w:rPr>
        <w:t xml:space="preserve">, </w:t>
      </w:r>
      <w:r w:rsidRPr="00686728">
        <w:rPr>
          <w:rFonts w:eastAsia="Calibri"/>
          <w:sz w:val="20"/>
          <w:szCs w:val="20"/>
          <w:lang w:eastAsia="en-US"/>
        </w:rPr>
        <w:t>Greiškāni - Greiškānu ferma</w:t>
      </w:r>
      <w:r>
        <w:rPr>
          <w:rFonts w:eastAsia="Calibri"/>
          <w:sz w:val="20"/>
          <w:szCs w:val="20"/>
          <w:lang w:eastAsia="en-US"/>
        </w:rPr>
        <w:t xml:space="preserve">, </w:t>
      </w:r>
      <w:r w:rsidRPr="00686728">
        <w:rPr>
          <w:rFonts w:eastAsia="Calibri"/>
          <w:sz w:val="20"/>
          <w:szCs w:val="20"/>
          <w:lang w:eastAsia="en-US"/>
        </w:rPr>
        <w:t>Skolas iela (Darbnīcas - Rēznas iela)</w:t>
      </w:r>
      <w:r>
        <w:rPr>
          <w:rFonts w:eastAsia="Calibri"/>
          <w:sz w:val="20"/>
          <w:szCs w:val="20"/>
          <w:lang w:eastAsia="en-US"/>
        </w:rPr>
        <w:t xml:space="preserve">, </w:t>
      </w:r>
      <w:r w:rsidRPr="00686728">
        <w:rPr>
          <w:rFonts w:eastAsia="Calibri"/>
          <w:sz w:val="20"/>
          <w:szCs w:val="20"/>
          <w:lang w:eastAsia="en-US"/>
        </w:rPr>
        <w:t xml:space="preserve">Lejas Ančupāni </w:t>
      </w:r>
      <w:r>
        <w:rPr>
          <w:rFonts w:eastAsia="Calibri"/>
          <w:sz w:val="20"/>
          <w:szCs w:val="20"/>
          <w:lang w:eastAsia="en-US"/>
        </w:rPr>
        <w:t>–</w:t>
      </w:r>
      <w:r w:rsidRPr="00686728">
        <w:rPr>
          <w:rFonts w:eastAsia="Calibri"/>
          <w:sz w:val="20"/>
          <w:szCs w:val="20"/>
          <w:lang w:eastAsia="en-US"/>
        </w:rPr>
        <w:t xml:space="preserve"> Meļņova</w:t>
      </w:r>
      <w:r>
        <w:rPr>
          <w:rFonts w:eastAsia="Calibri"/>
          <w:sz w:val="20"/>
          <w:szCs w:val="20"/>
          <w:lang w:eastAsia="en-US"/>
        </w:rPr>
        <w:t xml:space="preserve">, </w:t>
      </w:r>
      <w:r w:rsidRPr="00686728">
        <w:rPr>
          <w:rFonts w:eastAsia="Calibri"/>
          <w:sz w:val="20"/>
          <w:szCs w:val="20"/>
          <w:lang w:eastAsia="en-US"/>
        </w:rPr>
        <w:t xml:space="preserve">Sarkaņi </w:t>
      </w:r>
      <w:r>
        <w:rPr>
          <w:rFonts w:eastAsia="Calibri"/>
          <w:sz w:val="20"/>
          <w:szCs w:val="20"/>
          <w:lang w:eastAsia="en-US"/>
        </w:rPr>
        <w:t>–</w:t>
      </w:r>
      <w:r w:rsidRPr="00686728">
        <w:rPr>
          <w:rFonts w:eastAsia="Calibri"/>
          <w:sz w:val="20"/>
          <w:szCs w:val="20"/>
          <w:lang w:eastAsia="en-US"/>
        </w:rPr>
        <w:t xml:space="preserve"> Skobuļnīki</w:t>
      </w:r>
      <w:r>
        <w:rPr>
          <w:rFonts w:eastAsia="Calibri"/>
          <w:sz w:val="20"/>
          <w:szCs w:val="20"/>
          <w:lang w:eastAsia="en-US"/>
        </w:rPr>
        <w:t xml:space="preserve">, </w:t>
      </w:r>
      <w:r w:rsidRPr="00686728">
        <w:rPr>
          <w:rFonts w:eastAsia="Calibri"/>
          <w:sz w:val="20"/>
          <w:szCs w:val="20"/>
          <w:lang w:eastAsia="en-US"/>
        </w:rPr>
        <w:t xml:space="preserve">Kaļvi </w:t>
      </w:r>
      <w:r>
        <w:rPr>
          <w:rFonts w:eastAsia="Calibri"/>
          <w:sz w:val="20"/>
          <w:szCs w:val="20"/>
          <w:lang w:eastAsia="en-US"/>
        </w:rPr>
        <w:t>–</w:t>
      </w:r>
      <w:r w:rsidRPr="00686728">
        <w:rPr>
          <w:rFonts w:eastAsia="Calibri"/>
          <w:sz w:val="20"/>
          <w:szCs w:val="20"/>
          <w:lang w:eastAsia="en-US"/>
        </w:rPr>
        <w:t xml:space="preserve"> Livzi</w:t>
      </w:r>
      <w:r>
        <w:rPr>
          <w:rFonts w:eastAsia="Calibri"/>
          <w:sz w:val="20"/>
          <w:szCs w:val="20"/>
          <w:lang w:eastAsia="en-US"/>
        </w:rPr>
        <w:t xml:space="preserve">, </w:t>
      </w:r>
      <w:r w:rsidRPr="00686728">
        <w:rPr>
          <w:rFonts w:eastAsia="Calibri"/>
          <w:sz w:val="20"/>
          <w:szCs w:val="20"/>
          <w:lang w:eastAsia="en-US"/>
        </w:rPr>
        <w:t xml:space="preserve">Rikava - Uguļova </w:t>
      </w:r>
      <w:r>
        <w:rPr>
          <w:rFonts w:eastAsia="Calibri"/>
          <w:sz w:val="20"/>
          <w:szCs w:val="20"/>
          <w:lang w:eastAsia="en-US"/>
        </w:rPr>
        <w:t>remontdarbi;</w:t>
      </w:r>
    </w:p>
    <w:p w:rsidR="00686728" w:rsidP="006F20E0" w14:paraId="613C7544" w14:textId="312708CC">
      <w:pPr>
        <w:numPr>
          <w:ilvl w:val="0"/>
          <w:numId w:val="17"/>
        </w:numPr>
        <w:spacing w:line="240" w:lineRule="atLeast"/>
        <w:contextualSpacing/>
        <w:jc w:val="both"/>
        <w:rPr>
          <w:rFonts w:eastAsia="Calibri"/>
          <w:sz w:val="20"/>
          <w:szCs w:val="20"/>
          <w:lang w:eastAsia="en-US"/>
        </w:rPr>
      </w:pPr>
      <w:r w:rsidRPr="00686728">
        <w:rPr>
          <w:rFonts w:eastAsia="Calibri"/>
          <w:sz w:val="20"/>
          <w:szCs w:val="20"/>
          <w:lang w:eastAsia="en-US"/>
        </w:rPr>
        <w:t>Kaunatas apvienības pārvaldes ēkas Kaunatā energoefektivitātes uzlabošana</w:t>
      </w:r>
      <w:r>
        <w:rPr>
          <w:rFonts w:eastAsia="Calibri"/>
          <w:sz w:val="20"/>
          <w:szCs w:val="20"/>
          <w:lang w:eastAsia="en-US"/>
        </w:rPr>
        <w:t>;</w:t>
      </w:r>
    </w:p>
    <w:p w:rsidR="00686728" w:rsidP="006F20E0" w14:paraId="489DAE88" w14:textId="56B10D7F">
      <w:pPr>
        <w:numPr>
          <w:ilvl w:val="0"/>
          <w:numId w:val="17"/>
        </w:numPr>
        <w:spacing w:line="240" w:lineRule="atLeast"/>
        <w:contextualSpacing/>
        <w:jc w:val="both"/>
        <w:rPr>
          <w:rFonts w:eastAsia="Calibri"/>
          <w:sz w:val="20"/>
          <w:szCs w:val="20"/>
          <w:lang w:eastAsia="en-US"/>
        </w:rPr>
      </w:pPr>
      <w:r w:rsidRPr="00686728">
        <w:rPr>
          <w:rFonts w:eastAsia="Calibri"/>
          <w:sz w:val="20"/>
          <w:szCs w:val="20"/>
          <w:lang w:eastAsia="en-US"/>
        </w:rPr>
        <w:t>Nautrēnu apvienības pārvaldes ēkas Rogovkā</w:t>
      </w:r>
      <w:r w:rsidRPr="00686728">
        <w:rPr>
          <w:rFonts w:eastAsia="Calibri"/>
          <w:sz w:val="20"/>
          <w:szCs w:val="20"/>
          <w:lang w:eastAsia="en-US"/>
        </w:rPr>
        <w:t xml:space="preserve"> energoefektivitātes uzlabošana</w:t>
      </w:r>
      <w:r>
        <w:rPr>
          <w:rFonts w:eastAsia="Calibri"/>
          <w:sz w:val="20"/>
          <w:szCs w:val="20"/>
          <w:lang w:eastAsia="en-US"/>
        </w:rPr>
        <w:t>;</w:t>
      </w:r>
    </w:p>
    <w:p w:rsidR="00686728" w:rsidP="006F20E0" w14:paraId="2FF96A41" w14:textId="16E65F7A">
      <w:pPr>
        <w:numPr>
          <w:ilvl w:val="0"/>
          <w:numId w:val="17"/>
        </w:numPr>
        <w:spacing w:line="240" w:lineRule="atLeast"/>
        <w:contextualSpacing/>
        <w:jc w:val="both"/>
        <w:rPr>
          <w:rFonts w:eastAsia="Calibri"/>
          <w:sz w:val="20"/>
          <w:szCs w:val="20"/>
          <w:lang w:eastAsia="en-US"/>
        </w:rPr>
      </w:pPr>
      <w:r w:rsidRPr="00686728">
        <w:rPr>
          <w:rFonts w:eastAsia="Calibri"/>
          <w:sz w:val="20"/>
          <w:szCs w:val="20"/>
          <w:lang w:eastAsia="en-US"/>
        </w:rPr>
        <w:t>Maltas apvienības pārvaldes Maltas bibliotēkas ēkas energoefektivitātes uzlabošana</w:t>
      </w:r>
      <w:r>
        <w:rPr>
          <w:rFonts w:eastAsia="Calibri"/>
          <w:sz w:val="20"/>
          <w:szCs w:val="20"/>
          <w:lang w:eastAsia="en-US"/>
        </w:rPr>
        <w:t>;</w:t>
      </w:r>
    </w:p>
    <w:p w:rsidR="00686728" w:rsidP="006F20E0" w14:paraId="7E9E0AAF" w14:textId="736C7D04">
      <w:pPr>
        <w:numPr>
          <w:ilvl w:val="0"/>
          <w:numId w:val="17"/>
        </w:numPr>
        <w:spacing w:line="240" w:lineRule="atLeast"/>
        <w:contextualSpacing/>
        <w:jc w:val="both"/>
        <w:rPr>
          <w:rFonts w:eastAsia="Calibri"/>
          <w:sz w:val="20"/>
          <w:szCs w:val="20"/>
          <w:lang w:eastAsia="en-US"/>
        </w:rPr>
      </w:pPr>
      <w:r w:rsidRPr="00686728">
        <w:rPr>
          <w:rFonts w:eastAsia="Calibri"/>
          <w:sz w:val="20"/>
          <w:szCs w:val="20"/>
          <w:lang w:eastAsia="en-US"/>
        </w:rPr>
        <w:t>Nagļu tautas nama, t. sk. apvienības pārvaldes ēkas energoefektivitātes uzlabošan</w:t>
      </w:r>
      <w:r>
        <w:rPr>
          <w:rFonts w:eastAsia="Calibri"/>
          <w:sz w:val="20"/>
          <w:szCs w:val="20"/>
          <w:lang w:eastAsia="en-US"/>
        </w:rPr>
        <w:t>a;</w:t>
      </w:r>
    </w:p>
    <w:p w:rsidR="00686728" w:rsidP="006F20E0" w14:paraId="6CA8D6C7" w14:textId="254E6369">
      <w:pPr>
        <w:numPr>
          <w:ilvl w:val="0"/>
          <w:numId w:val="17"/>
        </w:numPr>
        <w:spacing w:line="240" w:lineRule="atLeast"/>
        <w:contextualSpacing/>
        <w:jc w:val="both"/>
        <w:rPr>
          <w:rFonts w:eastAsia="Calibri"/>
          <w:sz w:val="20"/>
          <w:szCs w:val="20"/>
          <w:lang w:eastAsia="en-US"/>
        </w:rPr>
      </w:pPr>
      <w:r w:rsidRPr="00686728">
        <w:rPr>
          <w:rFonts w:eastAsia="Calibri"/>
          <w:sz w:val="20"/>
          <w:szCs w:val="20"/>
          <w:lang w:eastAsia="en-US"/>
        </w:rPr>
        <w:t>Viļānu PII ēkas energoefektivitātes uzlabošana</w:t>
      </w:r>
      <w:r w:rsidR="00EC25A3">
        <w:rPr>
          <w:rFonts w:eastAsia="Calibri"/>
          <w:sz w:val="20"/>
          <w:szCs w:val="20"/>
          <w:lang w:eastAsia="en-US"/>
        </w:rPr>
        <w:t>;</w:t>
      </w:r>
    </w:p>
    <w:p w:rsidR="00EC25A3" w:rsidP="006F20E0" w14:paraId="37A65B9F" w14:textId="32D427E7">
      <w:pPr>
        <w:numPr>
          <w:ilvl w:val="0"/>
          <w:numId w:val="17"/>
        </w:numPr>
        <w:spacing w:line="240" w:lineRule="atLeast"/>
        <w:contextualSpacing/>
        <w:jc w:val="both"/>
        <w:rPr>
          <w:rFonts w:eastAsia="Calibri"/>
          <w:sz w:val="20"/>
          <w:szCs w:val="20"/>
          <w:lang w:eastAsia="en-US"/>
        </w:rPr>
      </w:pPr>
      <w:r>
        <w:rPr>
          <w:rFonts w:eastAsia="Calibri"/>
          <w:sz w:val="20"/>
          <w:szCs w:val="20"/>
          <w:lang w:eastAsia="en-US"/>
        </w:rPr>
        <w:t>3 elektroautobusu iegāde pagastu apvienībām;</w:t>
      </w:r>
    </w:p>
    <w:p w:rsidR="00EC25A3" w:rsidRPr="00686728" w:rsidP="006F20E0" w14:paraId="25147054" w14:textId="092A0AEF">
      <w:pPr>
        <w:numPr>
          <w:ilvl w:val="0"/>
          <w:numId w:val="17"/>
        </w:numPr>
        <w:spacing w:line="240" w:lineRule="atLeast"/>
        <w:contextualSpacing/>
        <w:jc w:val="both"/>
        <w:rPr>
          <w:rFonts w:eastAsia="Calibri"/>
          <w:sz w:val="20"/>
          <w:szCs w:val="20"/>
          <w:lang w:eastAsia="en-US"/>
        </w:rPr>
      </w:pPr>
      <w:r>
        <w:rPr>
          <w:rFonts w:eastAsia="Calibri"/>
          <w:sz w:val="20"/>
          <w:szCs w:val="20"/>
          <w:lang w:eastAsia="en-US"/>
        </w:rPr>
        <w:t>“Sociālo mājokļu atjaunošana Rēzeknes novada pašvaldībā”;</w:t>
      </w:r>
    </w:p>
    <w:p w:rsidR="00636B5C" w:rsidRPr="00686728" w:rsidP="006F20E0" w14:paraId="11092B56" w14:textId="77777777">
      <w:pPr>
        <w:numPr>
          <w:ilvl w:val="0"/>
          <w:numId w:val="17"/>
        </w:numPr>
        <w:spacing w:line="240" w:lineRule="atLeast"/>
        <w:contextualSpacing/>
        <w:jc w:val="both"/>
        <w:rPr>
          <w:rFonts w:eastAsia="Calibri"/>
          <w:sz w:val="20"/>
          <w:szCs w:val="20"/>
          <w:lang w:eastAsia="en-US"/>
        </w:rPr>
      </w:pPr>
      <w:r w:rsidRPr="00686728">
        <w:rPr>
          <w:rFonts w:eastAsia="Calibri"/>
          <w:sz w:val="20"/>
          <w:szCs w:val="20"/>
          <w:lang w:eastAsia="en-US"/>
        </w:rPr>
        <w:t>U.c.</w:t>
      </w:r>
    </w:p>
    <w:p w:rsidR="00636B5C" w:rsidRPr="00636B5C" w:rsidP="006F20E0" w14:paraId="27D03904" w14:textId="77777777">
      <w:pPr>
        <w:spacing w:line="240" w:lineRule="atLeast"/>
        <w:ind w:firstLine="720"/>
        <w:contextualSpacing/>
        <w:jc w:val="both"/>
        <w:rPr>
          <w:rFonts w:eastAsia="Calibri"/>
          <w:color w:val="FF0000"/>
          <w:sz w:val="20"/>
          <w:szCs w:val="20"/>
          <w:lang w:eastAsia="en-US"/>
        </w:rPr>
      </w:pPr>
    </w:p>
    <w:p w:rsidR="00636B5C" w:rsidRPr="00D66850" w:rsidP="006F20E0" w14:paraId="7A281FD2" w14:textId="77777777">
      <w:pPr>
        <w:spacing w:line="240" w:lineRule="atLeast"/>
        <w:ind w:firstLine="720"/>
        <w:contextualSpacing/>
        <w:jc w:val="both"/>
        <w:rPr>
          <w:rFonts w:eastAsia="Calibri"/>
          <w:b/>
          <w:sz w:val="20"/>
          <w:szCs w:val="20"/>
          <w:lang w:eastAsia="en-US"/>
        </w:rPr>
      </w:pPr>
      <w:r w:rsidRPr="00D66850">
        <w:rPr>
          <w:rFonts w:eastAsia="Calibri"/>
          <w:b/>
          <w:sz w:val="20"/>
          <w:szCs w:val="20"/>
          <w:lang w:eastAsia="en-US"/>
        </w:rPr>
        <w:t>Pašvaldības aizņēmumi un galvojumi</w:t>
      </w:r>
    </w:p>
    <w:p w:rsidR="00636B5C" w:rsidRPr="00D66850" w:rsidP="006F20E0" w14:paraId="7059C587" w14:textId="3E8F6993">
      <w:pPr>
        <w:spacing w:line="240" w:lineRule="atLeast"/>
        <w:ind w:firstLine="720"/>
        <w:contextualSpacing/>
        <w:jc w:val="both"/>
        <w:rPr>
          <w:rFonts w:eastAsia="Calibri"/>
          <w:bCs/>
          <w:sz w:val="20"/>
          <w:szCs w:val="20"/>
          <w:lang w:eastAsia="en-US"/>
        </w:rPr>
      </w:pPr>
      <w:r w:rsidRPr="00D66850">
        <w:rPr>
          <w:rFonts w:eastAsia="Calibri"/>
          <w:bCs/>
          <w:sz w:val="20"/>
          <w:szCs w:val="20"/>
          <w:lang w:eastAsia="en-US"/>
        </w:rPr>
        <w:t>Uz 202</w:t>
      </w:r>
      <w:r w:rsidRPr="00D66850" w:rsidR="00D66850">
        <w:rPr>
          <w:rFonts w:eastAsia="Calibri"/>
          <w:bCs/>
          <w:sz w:val="20"/>
          <w:szCs w:val="20"/>
          <w:lang w:eastAsia="en-US"/>
        </w:rPr>
        <w:t>5</w:t>
      </w:r>
      <w:r w:rsidRPr="00D66850">
        <w:rPr>
          <w:rFonts w:eastAsia="Calibri"/>
          <w:bCs/>
          <w:sz w:val="20"/>
          <w:szCs w:val="20"/>
          <w:lang w:eastAsia="en-US"/>
        </w:rPr>
        <w:t xml:space="preserve">. gada </w:t>
      </w:r>
      <w:r w:rsidRPr="00D66850" w:rsidR="00D66850">
        <w:rPr>
          <w:rFonts w:eastAsia="Calibri"/>
          <w:bCs/>
          <w:sz w:val="20"/>
          <w:szCs w:val="20"/>
          <w:lang w:eastAsia="en-US"/>
        </w:rPr>
        <w:t>30</w:t>
      </w:r>
      <w:r w:rsidRPr="00D66850">
        <w:rPr>
          <w:rFonts w:eastAsia="Calibri"/>
          <w:bCs/>
          <w:sz w:val="20"/>
          <w:szCs w:val="20"/>
          <w:lang w:eastAsia="en-US"/>
        </w:rPr>
        <w:t xml:space="preserve">. </w:t>
      </w:r>
      <w:r w:rsidRPr="00D66850" w:rsidR="00D66850">
        <w:rPr>
          <w:rFonts w:eastAsia="Calibri"/>
          <w:bCs/>
          <w:sz w:val="20"/>
          <w:szCs w:val="20"/>
          <w:lang w:eastAsia="en-US"/>
        </w:rPr>
        <w:t>janvāri</w:t>
      </w:r>
      <w:r w:rsidRPr="00D66850">
        <w:rPr>
          <w:rFonts w:eastAsia="Calibri"/>
          <w:bCs/>
          <w:sz w:val="20"/>
          <w:szCs w:val="20"/>
          <w:lang w:eastAsia="en-US"/>
        </w:rPr>
        <w:t xml:space="preserve"> pašvaldībai ir noslēgti  8</w:t>
      </w:r>
      <w:r w:rsidRPr="00D66850" w:rsidR="00D66850">
        <w:rPr>
          <w:rFonts w:eastAsia="Calibri"/>
          <w:bCs/>
          <w:sz w:val="20"/>
          <w:szCs w:val="20"/>
          <w:lang w:eastAsia="en-US"/>
        </w:rPr>
        <w:t>7</w:t>
      </w:r>
      <w:r w:rsidRPr="00D66850">
        <w:rPr>
          <w:rFonts w:eastAsia="Calibri"/>
          <w:bCs/>
          <w:sz w:val="20"/>
          <w:szCs w:val="20"/>
          <w:lang w:eastAsia="en-US"/>
        </w:rPr>
        <w:t xml:space="preserve"> aizņēmumu līgumi un </w:t>
      </w:r>
      <w:r w:rsidRPr="00D66850" w:rsidR="00D66850">
        <w:rPr>
          <w:rFonts w:eastAsia="Calibri"/>
          <w:bCs/>
          <w:sz w:val="20"/>
          <w:szCs w:val="20"/>
          <w:lang w:eastAsia="en-US"/>
        </w:rPr>
        <w:t>7</w:t>
      </w:r>
      <w:r w:rsidRPr="00D66850">
        <w:rPr>
          <w:rFonts w:eastAsia="Calibri"/>
          <w:bCs/>
          <w:sz w:val="20"/>
          <w:szCs w:val="20"/>
          <w:lang w:eastAsia="en-US"/>
        </w:rPr>
        <w:t xml:space="preserve"> galvojumu līgumi. </w:t>
      </w:r>
      <w:r w:rsidRPr="00D66850">
        <w:rPr>
          <w:rFonts w:eastAsia="Calibri"/>
          <w:sz w:val="20"/>
          <w:szCs w:val="20"/>
          <w:lang w:eastAsia="en-US"/>
        </w:rPr>
        <w:t>Rēzeknes novada pašvaldības aizņēmumu un galvojumu atšifrējuma saraksts ir atrodams Rēzeknes novada pašvaldības 202</w:t>
      </w:r>
      <w:r w:rsidRPr="00D66850" w:rsidR="00D66850">
        <w:rPr>
          <w:rFonts w:eastAsia="Calibri"/>
          <w:sz w:val="20"/>
          <w:szCs w:val="20"/>
          <w:lang w:eastAsia="en-US"/>
        </w:rPr>
        <w:t>5</w:t>
      </w:r>
      <w:r w:rsidRPr="00D66850">
        <w:rPr>
          <w:rFonts w:eastAsia="Calibri"/>
          <w:sz w:val="20"/>
          <w:szCs w:val="20"/>
          <w:lang w:eastAsia="en-US"/>
        </w:rPr>
        <w:t xml:space="preserve">. gada </w:t>
      </w:r>
      <w:r w:rsidRPr="00D66850" w:rsidR="00D66850">
        <w:rPr>
          <w:rFonts w:eastAsia="Calibri"/>
          <w:sz w:val="20"/>
          <w:szCs w:val="20"/>
          <w:lang w:eastAsia="en-US"/>
        </w:rPr>
        <w:t>30</w:t>
      </w:r>
      <w:r w:rsidRPr="00D66850">
        <w:rPr>
          <w:rFonts w:eastAsia="Calibri"/>
          <w:sz w:val="20"/>
          <w:szCs w:val="20"/>
          <w:lang w:eastAsia="en-US"/>
        </w:rPr>
        <w:t xml:space="preserve">. </w:t>
      </w:r>
      <w:r w:rsidRPr="00D66850" w:rsidR="00D66850">
        <w:rPr>
          <w:rFonts w:eastAsia="Calibri"/>
          <w:sz w:val="20"/>
          <w:szCs w:val="20"/>
          <w:lang w:eastAsia="en-US"/>
        </w:rPr>
        <w:t>janvāra</w:t>
      </w:r>
      <w:r w:rsidRPr="00D66850">
        <w:rPr>
          <w:rFonts w:eastAsia="Calibri"/>
          <w:sz w:val="20"/>
          <w:szCs w:val="20"/>
          <w:lang w:eastAsia="en-US"/>
        </w:rPr>
        <w:t xml:space="preserve"> saistošo noteikumu Nr. </w:t>
      </w:r>
      <w:r w:rsidRPr="00D66850" w:rsidR="00D66850">
        <w:rPr>
          <w:rFonts w:eastAsia="Calibri"/>
          <w:sz w:val="20"/>
          <w:szCs w:val="20"/>
          <w:lang w:eastAsia="en-US"/>
        </w:rPr>
        <w:t>50</w:t>
      </w:r>
      <w:r w:rsidRPr="00D66850">
        <w:rPr>
          <w:rFonts w:eastAsia="Calibri"/>
          <w:sz w:val="20"/>
          <w:szCs w:val="20"/>
          <w:lang w:eastAsia="en-US"/>
        </w:rPr>
        <w:t>“Par Rēzeknes novada pašvaldības budžetu 202</w:t>
      </w:r>
      <w:r w:rsidRPr="00D66850" w:rsidR="00D66850">
        <w:rPr>
          <w:rFonts w:eastAsia="Calibri"/>
          <w:sz w:val="20"/>
          <w:szCs w:val="20"/>
          <w:lang w:eastAsia="en-US"/>
        </w:rPr>
        <w:t>5</w:t>
      </w:r>
      <w:r w:rsidRPr="00D66850">
        <w:rPr>
          <w:rFonts w:eastAsia="Calibri"/>
          <w:sz w:val="20"/>
          <w:szCs w:val="20"/>
          <w:lang w:eastAsia="en-US"/>
        </w:rPr>
        <w:t>. gadam” 2. pielikumā.</w:t>
      </w:r>
    </w:p>
    <w:p w:rsidR="00636B5C" w:rsidRPr="00BD13C4" w:rsidP="006F20E0" w14:paraId="3EFBD131" w14:textId="1746225E">
      <w:pPr>
        <w:spacing w:line="240" w:lineRule="atLeast"/>
        <w:ind w:firstLine="720"/>
        <w:contextualSpacing/>
        <w:jc w:val="both"/>
        <w:rPr>
          <w:rFonts w:eastAsia="Calibri"/>
          <w:sz w:val="20"/>
          <w:szCs w:val="20"/>
          <w:lang w:eastAsia="en-US"/>
        </w:rPr>
      </w:pPr>
      <w:r w:rsidRPr="00BD13C4">
        <w:rPr>
          <w:rFonts w:eastAsia="Calibri"/>
          <w:sz w:val="20"/>
          <w:szCs w:val="20"/>
          <w:lang w:eastAsia="en-US"/>
        </w:rPr>
        <w:t>Pašvaldība paredz veikt sekojošus aizņēmumus 202</w:t>
      </w:r>
      <w:r w:rsidRPr="00BD13C4" w:rsidR="00D66850">
        <w:rPr>
          <w:rFonts w:eastAsia="Calibri"/>
          <w:sz w:val="20"/>
          <w:szCs w:val="20"/>
          <w:lang w:eastAsia="en-US"/>
        </w:rPr>
        <w:t>5</w:t>
      </w:r>
      <w:r w:rsidRPr="00BD13C4">
        <w:rPr>
          <w:rFonts w:eastAsia="Calibri"/>
          <w:sz w:val="20"/>
          <w:szCs w:val="20"/>
          <w:lang w:eastAsia="en-US"/>
        </w:rPr>
        <w:t>. gadā (kopā 1</w:t>
      </w:r>
      <w:r w:rsidRPr="00BD13C4" w:rsidR="00D66850">
        <w:rPr>
          <w:rFonts w:eastAsia="Calibri"/>
          <w:sz w:val="20"/>
          <w:szCs w:val="20"/>
          <w:lang w:eastAsia="en-US"/>
        </w:rPr>
        <w:t xml:space="preserve"> 936 359 </w:t>
      </w:r>
      <w:r w:rsidRPr="00BD13C4">
        <w:rPr>
          <w:rFonts w:eastAsia="Calibri"/>
          <w:sz w:val="20"/>
          <w:szCs w:val="20"/>
          <w:lang w:eastAsia="en-US"/>
        </w:rPr>
        <w:t>EUR):</w:t>
      </w:r>
    </w:p>
    <w:p w:rsidR="00636B5C" w:rsidRPr="00BD13C4" w:rsidP="006F20E0" w14:paraId="5D951619" w14:textId="48E87262">
      <w:pPr>
        <w:numPr>
          <w:ilvl w:val="0"/>
          <w:numId w:val="12"/>
        </w:numPr>
        <w:spacing w:line="240" w:lineRule="atLeast"/>
        <w:contextualSpacing/>
        <w:jc w:val="both"/>
        <w:rPr>
          <w:rFonts w:eastAsia="Calibri"/>
          <w:sz w:val="20"/>
          <w:szCs w:val="20"/>
          <w:lang w:eastAsia="en-US"/>
        </w:rPr>
      </w:pPr>
      <w:r w:rsidRPr="00BD13C4">
        <w:rPr>
          <w:rFonts w:eastAsia="Calibri"/>
          <w:sz w:val="20"/>
          <w:szCs w:val="20"/>
          <w:lang w:eastAsia="en-US"/>
        </w:rPr>
        <w:t xml:space="preserve">Nautrēnu apvienības pārvaldes ēkas Rogovkā energoefektivitātes uzlabošana EUR </w:t>
      </w:r>
      <w:r w:rsidRPr="00BD13C4" w:rsidR="006C321E">
        <w:rPr>
          <w:rFonts w:eastAsia="Calibri"/>
          <w:sz w:val="20"/>
          <w:szCs w:val="20"/>
          <w:lang w:eastAsia="en-US"/>
        </w:rPr>
        <w:t>163 762</w:t>
      </w:r>
      <w:r w:rsidRPr="00BD13C4">
        <w:rPr>
          <w:rFonts w:eastAsia="Calibri"/>
          <w:sz w:val="20"/>
          <w:szCs w:val="20"/>
          <w:lang w:eastAsia="en-US"/>
        </w:rPr>
        <w:t>;</w:t>
      </w:r>
    </w:p>
    <w:p w:rsidR="00636B5C" w:rsidRPr="00BD13C4" w:rsidP="006F20E0" w14:paraId="3B7D99FE" w14:textId="729EAD8A">
      <w:pPr>
        <w:numPr>
          <w:ilvl w:val="0"/>
          <w:numId w:val="12"/>
        </w:numPr>
        <w:spacing w:line="240" w:lineRule="atLeast"/>
        <w:contextualSpacing/>
        <w:jc w:val="both"/>
        <w:rPr>
          <w:rFonts w:eastAsia="Calibri"/>
          <w:sz w:val="20"/>
          <w:szCs w:val="20"/>
          <w:lang w:eastAsia="en-US"/>
        </w:rPr>
      </w:pPr>
      <w:r w:rsidRPr="00BD13C4">
        <w:rPr>
          <w:rFonts w:eastAsia="Calibri"/>
          <w:sz w:val="20"/>
          <w:szCs w:val="20"/>
          <w:lang w:eastAsia="en-US"/>
        </w:rPr>
        <w:t>Maltas apvienības pārvaldes Maltas bibliotēkas ēkas energoefektivitātes uzlabošana EUR 159</w:t>
      </w:r>
      <w:r w:rsidRPr="00BD13C4" w:rsidR="006C321E">
        <w:rPr>
          <w:rFonts w:eastAsia="Calibri"/>
          <w:sz w:val="20"/>
          <w:szCs w:val="20"/>
          <w:lang w:eastAsia="en-US"/>
        </w:rPr>
        <w:t> </w:t>
      </w:r>
      <w:r w:rsidRPr="00BD13C4">
        <w:rPr>
          <w:rFonts w:eastAsia="Calibri"/>
          <w:sz w:val="20"/>
          <w:szCs w:val="20"/>
          <w:lang w:eastAsia="en-US"/>
        </w:rPr>
        <w:t>982;</w:t>
      </w:r>
    </w:p>
    <w:p w:rsidR="00636B5C" w:rsidRPr="00BD13C4" w:rsidP="006F20E0" w14:paraId="5C89881A" w14:textId="1AE61646">
      <w:pPr>
        <w:numPr>
          <w:ilvl w:val="0"/>
          <w:numId w:val="12"/>
        </w:numPr>
        <w:spacing w:line="240" w:lineRule="atLeast"/>
        <w:contextualSpacing/>
        <w:jc w:val="both"/>
        <w:rPr>
          <w:rFonts w:eastAsia="Calibri"/>
          <w:sz w:val="20"/>
          <w:szCs w:val="20"/>
          <w:lang w:eastAsia="en-US"/>
        </w:rPr>
      </w:pPr>
      <w:r w:rsidRPr="00BD13C4">
        <w:rPr>
          <w:rFonts w:eastAsia="Calibri"/>
          <w:sz w:val="20"/>
          <w:szCs w:val="20"/>
          <w:lang w:eastAsia="en-US"/>
        </w:rPr>
        <w:t xml:space="preserve">Nagļu tautas nama, t.sk. apvienības pārvaldes ēkas energoefektivitātes uzlabošana EUR </w:t>
      </w:r>
      <w:r w:rsidRPr="00BD13C4" w:rsidR="006C321E">
        <w:rPr>
          <w:rFonts w:eastAsia="Calibri"/>
          <w:sz w:val="20"/>
          <w:szCs w:val="20"/>
          <w:lang w:eastAsia="en-US"/>
        </w:rPr>
        <w:t>50 344</w:t>
      </w:r>
      <w:r w:rsidRPr="00BD13C4">
        <w:rPr>
          <w:rFonts w:eastAsia="Calibri"/>
          <w:sz w:val="20"/>
          <w:szCs w:val="20"/>
          <w:lang w:eastAsia="en-US"/>
        </w:rPr>
        <w:t>;</w:t>
      </w:r>
    </w:p>
    <w:p w:rsidR="00636B5C" w:rsidRPr="00BD13C4" w:rsidP="006F20E0" w14:paraId="23373DB1" w14:textId="33BE9582">
      <w:pPr>
        <w:numPr>
          <w:ilvl w:val="0"/>
          <w:numId w:val="12"/>
        </w:numPr>
        <w:spacing w:line="240" w:lineRule="atLeast"/>
        <w:contextualSpacing/>
        <w:jc w:val="both"/>
        <w:rPr>
          <w:rFonts w:eastAsia="Calibri"/>
          <w:sz w:val="20"/>
          <w:szCs w:val="20"/>
          <w:lang w:eastAsia="en-US"/>
        </w:rPr>
      </w:pPr>
      <w:r w:rsidRPr="00BD13C4">
        <w:rPr>
          <w:rFonts w:eastAsia="Calibri"/>
          <w:sz w:val="20"/>
          <w:szCs w:val="20"/>
          <w:lang w:eastAsia="en-US"/>
        </w:rPr>
        <w:t xml:space="preserve">Kaunatas apvienības pārvaldes ēkas Kaunatā energoefektivitātes uzlabošana EUR </w:t>
      </w:r>
      <w:r w:rsidRPr="00BD13C4" w:rsidR="006C321E">
        <w:rPr>
          <w:rFonts w:eastAsia="Calibri"/>
          <w:sz w:val="20"/>
          <w:szCs w:val="20"/>
          <w:lang w:eastAsia="en-US"/>
        </w:rPr>
        <w:t>133 263</w:t>
      </w:r>
      <w:r w:rsidRPr="00BD13C4">
        <w:rPr>
          <w:rFonts w:eastAsia="Calibri"/>
          <w:sz w:val="20"/>
          <w:szCs w:val="20"/>
          <w:lang w:eastAsia="en-US"/>
        </w:rPr>
        <w:t>;</w:t>
      </w:r>
    </w:p>
    <w:p w:rsidR="00636B5C" w:rsidRPr="00BD13C4" w:rsidP="006F20E0" w14:paraId="19466687" w14:textId="406FA81F">
      <w:pPr>
        <w:numPr>
          <w:ilvl w:val="0"/>
          <w:numId w:val="12"/>
        </w:numPr>
        <w:spacing w:line="240" w:lineRule="atLeast"/>
        <w:contextualSpacing/>
        <w:jc w:val="both"/>
        <w:rPr>
          <w:rFonts w:eastAsia="Calibri"/>
          <w:sz w:val="20"/>
          <w:szCs w:val="20"/>
          <w:lang w:eastAsia="en-US"/>
        </w:rPr>
      </w:pPr>
      <w:r w:rsidRPr="00BD13C4">
        <w:rPr>
          <w:rFonts w:eastAsia="Calibri"/>
          <w:sz w:val="20"/>
          <w:szCs w:val="20"/>
          <w:lang w:eastAsia="en-US"/>
        </w:rPr>
        <w:t>Elektroautobusa iegāde Rēzeknes novada pašvaldībā, Viļ</w:t>
      </w:r>
      <w:r w:rsidRPr="00BD13C4" w:rsidR="00D66850">
        <w:rPr>
          <w:rFonts w:eastAsia="Calibri"/>
          <w:sz w:val="20"/>
          <w:szCs w:val="20"/>
          <w:lang w:eastAsia="en-US"/>
        </w:rPr>
        <w:t>ā</w:t>
      </w:r>
      <w:r w:rsidRPr="00BD13C4">
        <w:rPr>
          <w:rFonts w:eastAsia="Calibri"/>
          <w:sz w:val="20"/>
          <w:szCs w:val="20"/>
          <w:lang w:eastAsia="en-US"/>
        </w:rPr>
        <w:t xml:space="preserve">nos EUR </w:t>
      </w:r>
      <w:r w:rsidRPr="00BD13C4" w:rsidR="00D66850">
        <w:rPr>
          <w:rFonts w:eastAsia="Calibri"/>
          <w:sz w:val="20"/>
          <w:szCs w:val="20"/>
          <w:lang w:eastAsia="en-US"/>
        </w:rPr>
        <w:t>269 517</w:t>
      </w:r>
      <w:r w:rsidRPr="00BD13C4">
        <w:rPr>
          <w:rFonts w:eastAsia="Calibri"/>
          <w:sz w:val="20"/>
          <w:szCs w:val="20"/>
          <w:lang w:eastAsia="en-US"/>
        </w:rPr>
        <w:t>;</w:t>
      </w:r>
    </w:p>
    <w:p w:rsidR="00D66850" w:rsidRPr="00BD13C4" w:rsidP="006F20E0" w14:paraId="681580D2" w14:textId="714B4EBD">
      <w:pPr>
        <w:numPr>
          <w:ilvl w:val="0"/>
          <w:numId w:val="12"/>
        </w:numPr>
        <w:spacing w:line="240" w:lineRule="atLeast"/>
        <w:contextualSpacing/>
        <w:jc w:val="both"/>
        <w:rPr>
          <w:rFonts w:eastAsia="Calibri"/>
          <w:sz w:val="20"/>
          <w:szCs w:val="20"/>
          <w:lang w:eastAsia="en-US"/>
        </w:rPr>
      </w:pPr>
      <w:r w:rsidRPr="00BD13C4">
        <w:rPr>
          <w:rFonts w:eastAsia="Calibri"/>
          <w:sz w:val="20"/>
          <w:szCs w:val="20"/>
          <w:lang w:eastAsia="en-US"/>
        </w:rPr>
        <w:t>Elektroautobusa ieg</w:t>
      </w:r>
      <w:r w:rsidRPr="00BD13C4">
        <w:rPr>
          <w:rFonts w:eastAsia="Calibri" w:hint="eastAsia"/>
          <w:sz w:val="20"/>
          <w:szCs w:val="20"/>
          <w:lang w:eastAsia="en-US"/>
        </w:rPr>
        <w:t>ā</w:t>
      </w:r>
      <w:r w:rsidRPr="00BD13C4">
        <w:rPr>
          <w:rFonts w:eastAsia="Calibri"/>
          <w:sz w:val="20"/>
          <w:szCs w:val="20"/>
          <w:lang w:eastAsia="en-US"/>
        </w:rPr>
        <w:t>dei Maltas apvienības pārvaldei un Dricānu apvienības pārvaldei 202 748 EUR;</w:t>
      </w:r>
    </w:p>
    <w:p w:rsidR="00636B5C" w:rsidRPr="00BD13C4" w:rsidP="006F20E0" w14:paraId="3CD7F780" w14:textId="0DB2A242">
      <w:pPr>
        <w:numPr>
          <w:ilvl w:val="0"/>
          <w:numId w:val="12"/>
        </w:numPr>
        <w:spacing w:line="240" w:lineRule="atLeast"/>
        <w:contextualSpacing/>
        <w:jc w:val="both"/>
        <w:rPr>
          <w:rFonts w:eastAsia="Calibri"/>
          <w:sz w:val="20"/>
          <w:szCs w:val="20"/>
          <w:lang w:eastAsia="en-US"/>
        </w:rPr>
      </w:pPr>
      <w:r w:rsidRPr="00BD13C4">
        <w:rPr>
          <w:rFonts w:eastAsia="Calibri"/>
          <w:sz w:val="20"/>
          <w:szCs w:val="20"/>
          <w:lang w:eastAsia="en-US"/>
        </w:rPr>
        <w:t>Autoceļa remontdarbiem, Dek</w:t>
      </w:r>
      <w:r w:rsidRPr="00BD13C4">
        <w:rPr>
          <w:rFonts w:eastAsia="Calibri" w:hint="eastAsia"/>
          <w:sz w:val="20"/>
          <w:szCs w:val="20"/>
          <w:lang w:eastAsia="en-US"/>
        </w:rPr>
        <w:t>šā</w:t>
      </w:r>
      <w:r w:rsidRPr="00BD13C4">
        <w:rPr>
          <w:rFonts w:eastAsia="Calibri"/>
          <w:sz w:val="20"/>
          <w:szCs w:val="20"/>
          <w:lang w:eastAsia="en-US"/>
        </w:rPr>
        <w:t>res - Obeli</w:t>
      </w:r>
      <w:r w:rsidRPr="00BD13C4">
        <w:rPr>
          <w:rFonts w:eastAsia="Calibri" w:hint="eastAsia"/>
          <w:sz w:val="20"/>
          <w:szCs w:val="20"/>
          <w:lang w:eastAsia="en-US"/>
        </w:rPr>
        <w:t>šķ</w:t>
      </w:r>
      <w:r w:rsidRPr="00BD13C4">
        <w:rPr>
          <w:rFonts w:eastAsia="Calibri"/>
          <w:sz w:val="20"/>
          <w:szCs w:val="20"/>
          <w:lang w:eastAsia="en-US"/>
        </w:rPr>
        <w:t>as – Dzelzce</w:t>
      </w:r>
      <w:r w:rsidRPr="00BD13C4">
        <w:rPr>
          <w:rFonts w:eastAsia="Calibri" w:hint="eastAsia"/>
          <w:sz w:val="20"/>
          <w:szCs w:val="20"/>
          <w:lang w:eastAsia="en-US"/>
        </w:rPr>
        <w:t>ļš</w:t>
      </w:r>
      <w:r w:rsidRPr="00BD13C4">
        <w:rPr>
          <w:rFonts w:eastAsia="Calibri"/>
          <w:sz w:val="20"/>
          <w:szCs w:val="20"/>
          <w:lang w:eastAsia="en-US"/>
        </w:rPr>
        <w:t xml:space="preserve"> 101 212 EUR;</w:t>
      </w:r>
    </w:p>
    <w:p w:rsidR="00D66850" w:rsidRPr="00BD13C4" w:rsidP="006F20E0" w14:paraId="6FE28AB0" w14:textId="2FC67C82">
      <w:pPr>
        <w:numPr>
          <w:ilvl w:val="0"/>
          <w:numId w:val="12"/>
        </w:numPr>
        <w:spacing w:line="240" w:lineRule="atLeast"/>
        <w:contextualSpacing/>
        <w:jc w:val="both"/>
        <w:rPr>
          <w:rFonts w:eastAsia="Calibri"/>
          <w:sz w:val="20"/>
          <w:szCs w:val="20"/>
          <w:lang w:eastAsia="en-US"/>
        </w:rPr>
      </w:pPr>
      <w:r w:rsidRPr="00BD13C4">
        <w:rPr>
          <w:rFonts w:eastAsia="Calibri"/>
          <w:sz w:val="20"/>
          <w:szCs w:val="20"/>
          <w:lang w:eastAsia="en-US"/>
        </w:rPr>
        <w:t>Autoceļa remontdarbiem, Nag</w:t>
      </w:r>
      <w:r w:rsidRPr="00BD13C4">
        <w:rPr>
          <w:rFonts w:eastAsia="Calibri" w:hint="eastAsia"/>
          <w:sz w:val="20"/>
          <w:szCs w:val="20"/>
          <w:lang w:eastAsia="en-US"/>
        </w:rPr>
        <w:t>ļ</w:t>
      </w:r>
      <w:r w:rsidRPr="00BD13C4">
        <w:rPr>
          <w:rFonts w:eastAsia="Calibri"/>
          <w:sz w:val="20"/>
          <w:szCs w:val="20"/>
          <w:lang w:eastAsia="en-US"/>
        </w:rPr>
        <w:t>u ce</w:t>
      </w:r>
      <w:r w:rsidRPr="00BD13C4">
        <w:rPr>
          <w:rFonts w:eastAsia="Calibri" w:hint="eastAsia"/>
          <w:sz w:val="20"/>
          <w:szCs w:val="20"/>
          <w:lang w:eastAsia="en-US"/>
        </w:rPr>
        <w:t>ļš</w:t>
      </w:r>
      <w:r w:rsidRPr="00BD13C4">
        <w:rPr>
          <w:rFonts w:eastAsia="Calibri"/>
          <w:sz w:val="20"/>
          <w:szCs w:val="20"/>
          <w:lang w:eastAsia="en-US"/>
        </w:rPr>
        <w:t xml:space="preserve"> - Lejas dzirnavas - Kuces kalns 54 630 EUR;</w:t>
      </w:r>
    </w:p>
    <w:p w:rsidR="00D66850" w:rsidRPr="00BD13C4" w:rsidP="006F20E0" w14:paraId="5450F00A" w14:textId="50BF99AD">
      <w:pPr>
        <w:numPr>
          <w:ilvl w:val="0"/>
          <w:numId w:val="12"/>
        </w:numPr>
        <w:spacing w:line="240" w:lineRule="atLeast"/>
        <w:contextualSpacing/>
        <w:jc w:val="both"/>
        <w:rPr>
          <w:rFonts w:eastAsia="Calibri"/>
          <w:sz w:val="20"/>
          <w:szCs w:val="20"/>
          <w:lang w:eastAsia="en-US"/>
        </w:rPr>
      </w:pPr>
      <w:r w:rsidRPr="00BD13C4">
        <w:rPr>
          <w:rFonts w:eastAsia="Calibri"/>
          <w:sz w:val="20"/>
          <w:szCs w:val="20"/>
          <w:lang w:eastAsia="en-US"/>
        </w:rPr>
        <w:t>Autoceļa remontdarbiem, Skolas iela Malt</w:t>
      </w:r>
      <w:r w:rsidRPr="00BD13C4">
        <w:rPr>
          <w:rFonts w:eastAsia="Calibri" w:hint="eastAsia"/>
          <w:sz w:val="20"/>
          <w:szCs w:val="20"/>
          <w:lang w:eastAsia="en-US"/>
        </w:rPr>
        <w:t>ā</w:t>
      </w:r>
      <w:r w:rsidRPr="00BD13C4">
        <w:rPr>
          <w:rFonts w:eastAsia="Calibri"/>
          <w:sz w:val="20"/>
          <w:szCs w:val="20"/>
          <w:lang w:eastAsia="en-US"/>
        </w:rPr>
        <w:t xml:space="preserve"> 143 734 EUR;</w:t>
      </w:r>
    </w:p>
    <w:p w:rsidR="00D66850" w:rsidRPr="00BD13C4" w:rsidP="006F20E0" w14:paraId="61E0566C" w14:textId="24E77E0F">
      <w:pPr>
        <w:numPr>
          <w:ilvl w:val="0"/>
          <w:numId w:val="12"/>
        </w:numPr>
        <w:spacing w:line="240" w:lineRule="atLeast"/>
        <w:contextualSpacing/>
        <w:jc w:val="both"/>
        <w:rPr>
          <w:rFonts w:eastAsia="Calibri"/>
          <w:sz w:val="20"/>
          <w:szCs w:val="20"/>
          <w:lang w:eastAsia="en-US"/>
        </w:rPr>
      </w:pPr>
      <w:r w:rsidRPr="00BD13C4">
        <w:rPr>
          <w:rFonts w:eastAsia="Calibri"/>
          <w:sz w:val="20"/>
          <w:szCs w:val="20"/>
          <w:lang w:eastAsia="en-US"/>
        </w:rPr>
        <w:t>Autoceļa remontdarbiem, Grei</w:t>
      </w:r>
      <w:r w:rsidRPr="00BD13C4">
        <w:rPr>
          <w:rFonts w:eastAsia="Calibri" w:hint="eastAsia"/>
          <w:sz w:val="20"/>
          <w:szCs w:val="20"/>
          <w:lang w:eastAsia="en-US"/>
        </w:rPr>
        <w:t>š</w:t>
      </w:r>
      <w:r w:rsidRPr="00BD13C4">
        <w:rPr>
          <w:rFonts w:eastAsia="Calibri"/>
          <w:sz w:val="20"/>
          <w:szCs w:val="20"/>
          <w:lang w:eastAsia="en-US"/>
        </w:rPr>
        <w:t>k</w:t>
      </w:r>
      <w:r w:rsidRPr="00BD13C4">
        <w:rPr>
          <w:rFonts w:eastAsia="Calibri" w:hint="eastAsia"/>
          <w:sz w:val="20"/>
          <w:szCs w:val="20"/>
          <w:lang w:eastAsia="en-US"/>
        </w:rPr>
        <w:t>ā</w:t>
      </w:r>
      <w:r w:rsidRPr="00BD13C4">
        <w:rPr>
          <w:rFonts w:eastAsia="Calibri"/>
          <w:sz w:val="20"/>
          <w:szCs w:val="20"/>
          <w:lang w:eastAsia="en-US"/>
        </w:rPr>
        <w:t>ni - Gri</w:t>
      </w:r>
      <w:r w:rsidRPr="00BD13C4">
        <w:rPr>
          <w:rFonts w:eastAsia="Calibri" w:hint="eastAsia"/>
          <w:sz w:val="20"/>
          <w:szCs w:val="20"/>
          <w:lang w:eastAsia="en-US"/>
        </w:rPr>
        <w:t>š</w:t>
      </w:r>
      <w:r w:rsidRPr="00BD13C4">
        <w:rPr>
          <w:rFonts w:eastAsia="Calibri"/>
          <w:sz w:val="20"/>
          <w:szCs w:val="20"/>
          <w:lang w:eastAsia="en-US"/>
        </w:rPr>
        <w:t>k</w:t>
      </w:r>
      <w:r w:rsidRPr="00BD13C4">
        <w:rPr>
          <w:rFonts w:eastAsia="Calibri" w:hint="eastAsia"/>
          <w:sz w:val="20"/>
          <w:szCs w:val="20"/>
          <w:lang w:eastAsia="en-US"/>
        </w:rPr>
        <w:t>ā</w:t>
      </w:r>
      <w:r w:rsidRPr="00BD13C4">
        <w:rPr>
          <w:rFonts w:eastAsia="Calibri"/>
          <w:sz w:val="20"/>
          <w:szCs w:val="20"/>
          <w:lang w:eastAsia="en-US"/>
        </w:rPr>
        <w:t>nu ferma 10 990 EUR;</w:t>
      </w:r>
    </w:p>
    <w:p w:rsidR="006C321E" w:rsidRPr="00BD13C4" w:rsidP="006F20E0" w14:paraId="6AD34F08" w14:textId="48B48A73">
      <w:pPr>
        <w:numPr>
          <w:ilvl w:val="0"/>
          <w:numId w:val="12"/>
        </w:numPr>
        <w:spacing w:line="240" w:lineRule="atLeast"/>
        <w:contextualSpacing/>
        <w:jc w:val="both"/>
        <w:rPr>
          <w:rFonts w:eastAsia="Calibri"/>
          <w:sz w:val="20"/>
          <w:szCs w:val="20"/>
          <w:lang w:eastAsia="en-US"/>
        </w:rPr>
      </w:pPr>
      <w:r w:rsidRPr="00BD13C4">
        <w:rPr>
          <w:rFonts w:eastAsia="Calibri"/>
          <w:sz w:val="20"/>
          <w:szCs w:val="20"/>
          <w:lang w:eastAsia="en-US"/>
        </w:rPr>
        <w:t>Autoceļa remontdarbiem, Darbn</w:t>
      </w:r>
      <w:r w:rsidRPr="00BD13C4">
        <w:rPr>
          <w:rFonts w:eastAsia="Calibri" w:hint="eastAsia"/>
          <w:sz w:val="20"/>
          <w:szCs w:val="20"/>
          <w:lang w:eastAsia="en-US"/>
        </w:rPr>
        <w:t>ī</w:t>
      </w:r>
      <w:r w:rsidRPr="00BD13C4">
        <w:rPr>
          <w:rFonts w:eastAsia="Calibri"/>
          <w:sz w:val="20"/>
          <w:szCs w:val="20"/>
          <w:lang w:eastAsia="en-US"/>
        </w:rPr>
        <w:t>cas - R</w:t>
      </w:r>
      <w:r w:rsidRPr="00BD13C4">
        <w:rPr>
          <w:rFonts w:eastAsia="Calibri" w:hint="eastAsia"/>
          <w:sz w:val="20"/>
          <w:szCs w:val="20"/>
          <w:lang w:eastAsia="en-US"/>
        </w:rPr>
        <w:t>ē</w:t>
      </w:r>
      <w:r w:rsidRPr="00BD13C4">
        <w:rPr>
          <w:rFonts w:eastAsia="Calibri"/>
          <w:sz w:val="20"/>
          <w:szCs w:val="20"/>
          <w:lang w:eastAsia="en-US"/>
        </w:rPr>
        <w:t>znas iela, Stoļerovā 54</w:t>
      </w:r>
      <w:r w:rsidRPr="00BD13C4" w:rsidR="00BD13C4">
        <w:rPr>
          <w:rFonts w:eastAsia="Calibri"/>
          <w:sz w:val="20"/>
          <w:szCs w:val="20"/>
          <w:lang w:eastAsia="en-US"/>
        </w:rPr>
        <w:t xml:space="preserve"> </w:t>
      </w:r>
      <w:r w:rsidRPr="00BD13C4">
        <w:rPr>
          <w:rFonts w:eastAsia="Calibri"/>
          <w:sz w:val="20"/>
          <w:szCs w:val="20"/>
          <w:lang w:eastAsia="en-US"/>
        </w:rPr>
        <w:t>543 EUR;</w:t>
      </w:r>
    </w:p>
    <w:p w:rsidR="006C321E" w:rsidRPr="00BD13C4" w:rsidP="006F20E0" w14:paraId="1895E96A" w14:textId="44748F09">
      <w:pPr>
        <w:numPr>
          <w:ilvl w:val="0"/>
          <w:numId w:val="12"/>
        </w:numPr>
        <w:spacing w:line="240" w:lineRule="atLeast"/>
        <w:contextualSpacing/>
        <w:jc w:val="both"/>
        <w:rPr>
          <w:rFonts w:eastAsia="Calibri"/>
          <w:sz w:val="20"/>
          <w:szCs w:val="20"/>
          <w:lang w:eastAsia="en-US"/>
        </w:rPr>
      </w:pPr>
      <w:r w:rsidRPr="00BD13C4">
        <w:rPr>
          <w:rFonts w:eastAsia="Calibri"/>
          <w:sz w:val="20"/>
          <w:szCs w:val="20"/>
          <w:lang w:eastAsia="en-US"/>
        </w:rPr>
        <w:t>Autoceļa remontdarbiem, Lejas An</w:t>
      </w:r>
      <w:r w:rsidRPr="00BD13C4">
        <w:rPr>
          <w:rFonts w:eastAsia="Calibri" w:hint="eastAsia"/>
          <w:sz w:val="20"/>
          <w:szCs w:val="20"/>
          <w:lang w:eastAsia="en-US"/>
        </w:rPr>
        <w:t>č</w:t>
      </w:r>
      <w:r w:rsidRPr="00BD13C4">
        <w:rPr>
          <w:rFonts w:eastAsia="Calibri"/>
          <w:sz w:val="20"/>
          <w:szCs w:val="20"/>
          <w:lang w:eastAsia="en-US"/>
        </w:rPr>
        <w:t>upāni – Me</w:t>
      </w:r>
      <w:r w:rsidRPr="00BD13C4">
        <w:rPr>
          <w:rFonts w:eastAsia="Calibri" w:hint="eastAsia"/>
          <w:sz w:val="20"/>
          <w:szCs w:val="20"/>
          <w:lang w:eastAsia="en-US"/>
        </w:rPr>
        <w:t>ļņ</w:t>
      </w:r>
      <w:r w:rsidRPr="00BD13C4">
        <w:rPr>
          <w:rFonts w:eastAsia="Calibri"/>
          <w:sz w:val="20"/>
          <w:szCs w:val="20"/>
          <w:lang w:eastAsia="en-US"/>
        </w:rPr>
        <w:t>ova 50 229 EUR;</w:t>
      </w:r>
    </w:p>
    <w:p w:rsidR="006C321E" w:rsidRPr="00BD13C4" w:rsidP="006F20E0" w14:paraId="29A1E02A" w14:textId="0FD8B13C">
      <w:pPr>
        <w:numPr>
          <w:ilvl w:val="0"/>
          <w:numId w:val="12"/>
        </w:numPr>
        <w:spacing w:line="240" w:lineRule="atLeast"/>
        <w:contextualSpacing/>
        <w:jc w:val="both"/>
        <w:rPr>
          <w:rFonts w:eastAsia="Calibri"/>
          <w:sz w:val="20"/>
          <w:szCs w:val="20"/>
          <w:lang w:eastAsia="en-US"/>
        </w:rPr>
      </w:pPr>
      <w:r w:rsidRPr="00BD13C4">
        <w:rPr>
          <w:rFonts w:eastAsia="Calibri"/>
          <w:sz w:val="20"/>
          <w:szCs w:val="20"/>
          <w:lang w:eastAsia="en-US"/>
        </w:rPr>
        <w:t>Autoceļa remontdarbiem, Sarka</w:t>
      </w:r>
      <w:r w:rsidRPr="00BD13C4">
        <w:rPr>
          <w:rFonts w:eastAsia="Calibri" w:hint="eastAsia"/>
          <w:sz w:val="20"/>
          <w:szCs w:val="20"/>
          <w:lang w:eastAsia="en-US"/>
        </w:rPr>
        <w:t>ņ</w:t>
      </w:r>
      <w:r w:rsidRPr="00BD13C4">
        <w:rPr>
          <w:rFonts w:eastAsia="Calibri"/>
          <w:sz w:val="20"/>
          <w:szCs w:val="20"/>
          <w:lang w:eastAsia="en-US"/>
        </w:rPr>
        <w:t>i – Skobu</w:t>
      </w:r>
      <w:r w:rsidRPr="00BD13C4">
        <w:rPr>
          <w:rFonts w:eastAsia="Calibri" w:hint="eastAsia"/>
          <w:sz w:val="20"/>
          <w:szCs w:val="20"/>
          <w:lang w:eastAsia="en-US"/>
        </w:rPr>
        <w:t>ļņī</w:t>
      </w:r>
      <w:r w:rsidRPr="00BD13C4">
        <w:rPr>
          <w:rFonts w:eastAsia="Calibri"/>
          <w:sz w:val="20"/>
          <w:szCs w:val="20"/>
          <w:lang w:eastAsia="en-US"/>
        </w:rPr>
        <w:t>ki 103 127 EUR;</w:t>
      </w:r>
    </w:p>
    <w:p w:rsidR="006C321E" w:rsidRPr="00BD13C4" w:rsidP="006F20E0" w14:paraId="5CA9D0AB" w14:textId="4AB823C8">
      <w:pPr>
        <w:numPr>
          <w:ilvl w:val="0"/>
          <w:numId w:val="12"/>
        </w:numPr>
        <w:spacing w:line="240" w:lineRule="atLeast"/>
        <w:contextualSpacing/>
        <w:jc w:val="both"/>
        <w:rPr>
          <w:rFonts w:eastAsia="Calibri"/>
          <w:sz w:val="20"/>
          <w:szCs w:val="20"/>
          <w:lang w:eastAsia="en-US"/>
        </w:rPr>
      </w:pPr>
      <w:r w:rsidRPr="00BD13C4">
        <w:rPr>
          <w:rFonts w:eastAsia="Calibri"/>
          <w:sz w:val="20"/>
          <w:szCs w:val="20"/>
          <w:lang w:eastAsia="en-US"/>
        </w:rPr>
        <w:t>Autoceļa remontdarbiem, Ka</w:t>
      </w:r>
      <w:r w:rsidRPr="00BD13C4">
        <w:rPr>
          <w:rFonts w:eastAsia="Calibri" w:hint="eastAsia"/>
          <w:sz w:val="20"/>
          <w:szCs w:val="20"/>
          <w:lang w:eastAsia="en-US"/>
        </w:rPr>
        <w:t>ļ</w:t>
      </w:r>
      <w:r w:rsidRPr="00BD13C4">
        <w:rPr>
          <w:rFonts w:eastAsia="Calibri"/>
          <w:sz w:val="20"/>
          <w:szCs w:val="20"/>
          <w:lang w:eastAsia="en-US"/>
        </w:rPr>
        <w:t>vi – Livzi 67 159 EUR;</w:t>
      </w:r>
    </w:p>
    <w:p w:rsidR="006C321E" w:rsidRPr="00BD13C4" w:rsidP="006F20E0" w14:paraId="1D1F8DEB" w14:textId="76D2D32F">
      <w:pPr>
        <w:numPr>
          <w:ilvl w:val="0"/>
          <w:numId w:val="12"/>
        </w:numPr>
        <w:spacing w:line="240" w:lineRule="atLeast"/>
        <w:contextualSpacing/>
        <w:jc w:val="both"/>
        <w:rPr>
          <w:rFonts w:eastAsia="Calibri"/>
          <w:sz w:val="20"/>
          <w:szCs w:val="20"/>
          <w:lang w:eastAsia="en-US"/>
        </w:rPr>
      </w:pPr>
      <w:r w:rsidRPr="00BD13C4">
        <w:rPr>
          <w:rFonts w:eastAsia="Calibri"/>
          <w:sz w:val="20"/>
          <w:szCs w:val="20"/>
          <w:lang w:eastAsia="en-US"/>
        </w:rPr>
        <w:t>Autoceļa remontdarbiem, Rikava – Ugu</w:t>
      </w:r>
      <w:r w:rsidRPr="00BD13C4">
        <w:rPr>
          <w:rFonts w:eastAsia="Calibri" w:hint="eastAsia"/>
          <w:sz w:val="20"/>
          <w:szCs w:val="20"/>
          <w:lang w:eastAsia="en-US"/>
        </w:rPr>
        <w:t>ļ</w:t>
      </w:r>
      <w:r w:rsidRPr="00BD13C4">
        <w:rPr>
          <w:rFonts w:eastAsia="Calibri"/>
          <w:sz w:val="20"/>
          <w:szCs w:val="20"/>
          <w:lang w:eastAsia="en-US"/>
        </w:rPr>
        <w:t>ova 103 566 EUR;</w:t>
      </w:r>
    </w:p>
    <w:p w:rsidR="006C321E" w:rsidRPr="00BD13C4" w:rsidP="006F20E0" w14:paraId="7EE5C68D" w14:textId="48545709">
      <w:pPr>
        <w:numPr>
          <w:ilvl w:val="0"/>
          <w:numId w:val="12"/>
        </w:numPr>
        <w:spacing w:line="240" w:lineRule="atLeast"/>
        <w:contextualSpacing/>
        <w:jc w:val="both"/>
        <w:rPr>
          <w:rFonts w:eastAsia="Calibri"/>
          <w:sz w:val="20"/>
          <w:szCs w:val="20"/>
          <w:lang w:eastAsia="en-US"/>
        </w:rPr>
      </w:pPr>
      <w:r w:rsidRPr="00BD13C4">
        <w:rPr>
          <w:rFonts w:eastAsia="Calibri"/>
          <w:sz w:val="20"/>
          <w:szCs w:val="20"/>
          <w:lang w:eastAsia="en-US"/>
        </w:rPr>
        <w:t>Soci</w:t>
      </w:r>
      <w:r w:rsidRPr="00BD13C4">
        <w:rPr>
          <w:rFonts w:eastAsia="Calibri" w:hint="eastAsia"/>
          <w:sz w:val="20"/>
          <w:szCs w:val="20"/>
          <w:lang w:eastAsia="en-US"/>
        </w:rPr>
        <w:t>ā</w:t>
      </w:r>
      <w:r w:rsidRPr="00BD13C4">
        <w:rPr>
          <w:rFonts w:eastAsia="Calibri"/>
          <w:sz w:val="20"/>
          <w:szCs w:val="20"/>
          <w:lang w:eastAsia="en-US"/>
        </w:rPr>
        <w:t>lo m</w:t>
      </w:r>
      <w:r w:rsidRPr="00BD13C4">
        <w:rPr>
          <w:rFonts w:eastAsia="Calibri" w:hint="eastAsia"/>
          <w:sz w:val="20"/>
          <w:szCs w:val="20"/>
          <w:lang w:eastAsia="en-US"/>
        </w:rPr>
        <w:t>ā</w:t>
      </w:r>
      <w:r w:rsidRPr="00BD13C4">
        <w:rPr>
          <w:rFonts w:eastAsia="Calibri"/>
          <w:sz w:val="20"/>
          <w:szCs w:val="20"/>
          <w:lang w:eastAsia="en-US"/>
        </w:rPr>
        <w:t>jok</w:t>
      </w:r>
      <w:r w:rsidRPr="00BD13C4">
        <w:rPr>
          <w:rFonts w:eastAsia="Calibri" w:hint="eastAsia"/>
          <w:sz w:val="20"/>
          <w:szCs w:val="20"/>
          <w:lang w:eastAsia="en-US"/>
        </w:rPr>
        <w:t>ļ</w:t>
      </w:r>
      <w:r w:rsidRPr="00BD13C4">
        <w:rPr>
          <w:rFonts w:eastAsia="Calibri"/>
          <w:sz w:val="20"/>
          <w:szCs w:val="20"/>
          <w:lang w:eastAsia="en-US"/>
        </w:rPr>
        <w:t>u atjauno</w:t>
      </w:r>
      <w:r w:rsidRPr="00BD13C4">
        <w:rPr>
          <w:rFonts w:eastAsia="Calibri" w:hint="eastAsia"/>
          <w:sz w:val="20"/>
          <w:szCs w:val="20"/>
          <w:lang w:eastAsia="en-US"/>
        </w:rPr>
        <w:t>š</w:t>
      </w:r>
      <w:r w:rsidRPr="00BD13C4">
        <w:rPr>
          <w:rFonts w:eastAsia="Calibri"/>
          <w:sz w:val="20"/>
          <w:szCs w:val="20"/>
          <w:lang w:eastAsia="en-US"/>
        </w:rPr>
        <w:t>ana R</w:t>
      </w:r>
      <w:r w:rsidRPr="00BD13C4">
        <w:rPr>
          <w:rFonts w:eastAsia="Calibri" w:hint="eastAsia"/>
          <w:sz w:val="20"/>
          <w:szCs w:val="20"/>
          <w:lang w:eastAsia="en-US"/>
        </w:rPr>
        <w:t>ē</w:t>
      </w:r>
      <w:r w:rsidRPr="00BD13C4">
        <w:rPr>
          <w:rFonts w:eastAsia="Calibri"/>
          <w:sz w:val="20"/>
          <w:szCs w:val="20"/>
          <w:lang w:eastAsia="en-US"/>
        </w:rPr>
        <w:t>zeknes novada pa</w:t>
      </w:r>
      <w:r w:rsidRPr="00BD13C4">
        <w:rPr>
          <w:rFonts w:eastAsia="Calibri" w:hint="eastAsia"/>
          <w:sz w:val="20"/>
          <w:szCs w:val="20"/>
          <w:lang w:eastAsia="en-US"/>
        </w:rPr>
        <w:t>š</w:t>
      </w:r>
      <w:r w:rsidRPr="00BD13C4">
        <w:rPr>
          <w:rFonts w:eastAsia="Calibri"/>
          <w:sz w:val="20"/>
          <w:szCs w:val="20"/>
          <w:lang w:eastAsia="en-US"/>
        </w:rPr>
        <w:t>vald</w:t>
      </w:r>
      <w:r w:rsidRPr="00BD13C4">
        <w:rPr>
          <w:rFonts w:eastAsia="Calibri" w:hint="eastAsia"/>
          <w:sz w:val="20"/>
          <w:szCs w:val="20"/>
          <w:lang w:eastAsia="en-US"/>
        </w:rPr>
        <w:t>ī</w:t>
      </w:r>
      <w:r w:rsidRPr="00BD13C4">
        <w:rPr>
          <w:rFonts w:eastAsia="Calibri"/>
          <w:sz w:val="20"/>
          <w:szCs w:val="20"/>
          <w:lang w:eastAsia="en-US"/>
        </w:rPr>
        <w:t>b</w:t>
      </w:r>
      <w:r w:rsidRPr="00BD13C4">
        <w:rPr>
          <w:rFonts w:eastAsia="Calibri" w:hint="eastAsia"/>
          <w:sz w:val="20"/>
          <w:szCs w:val="20"/>
          <w:lang w:eastAsia="en-US"/>
        </w:rPr>
        <w:t>ā</w:t>
      </w:r>
      <w:r w:rsidRPr="00BD13C4">
        <w:rPr>
          <w:rFonts w:eastAsia="Calibri"/>
          <w:sz w:val="20"/>
          <w:szCs w:val="20"/>
          <w:lang w:eastAsia="en-US"/>
        </w:rPr>
        <w:t xml:space="preserve">  159 375 EUR;</w:t>
      </w:r>
    </w:p>
    <w:p w:rsidR="006C321E" w:rsidRPr="00BD13C4" w:rsidP="006F20E0" w14:paraId="045B4189" w14:textId="32D26CDB">
      <w:pPr>
        <w:numPr>
          <w:ilvl w:val="0"/>
          <w:numId w:val="12"/>
        </w:numPr>
        <w:spacing w:line="240" w:lineRule="atLeast"/>
        <w:contextualSpacing/>
        <w:jc w:val="both"/>
        <w:rPr>
          <w:rFonts w:eastAsia="Calibri"/>
          <w:sz w:val="20"/>
          <w:szCs w:val="20"/>
          <w:lang w:eastAsia="en-US"/>
        </w:rPr>
      </w:pPr>
      <w:r w:rsidRPr="00BD13C4">
        <w:rPr>
          <w:rFonts w:eastAsia="Calibri"/>
          <w:sz w:val="20"/>
          <w:szCs w:val="20"/>
          <w:lang w:eastAsia="en-US"/>
        </w:rPr>
        <w:t>Vi</w:t>
      </w:r>
      <w:r w:rsidRPr="00BD13C4">
        <w:rPr>
          <w:rFonts w:eastAsia="Calibri" w:hint="eastAsia"/>
          <w:sz w:val="20"/>
          <w:szCs w:val="20"/>
          <w:lang w:eastAsia="en-US"/>
        </w:rPr>
        <w:t>ļā</w:t>
      </w:r>
      <w:r w:rsidRPr="00BD13C4">
        <w:rPr>
          <w:rFonts w:eastAsia="Calibri"/>
          <w:sz w:val="20"/>
          <w:szCs w:val="20"/>
          <w:lang w:eastAsia="en-US"/>
        </w:rPr>
        <w:t xml:space="preserve">nu PII </w:t>
      </w:r>
      <w:r w:rsidRPr="00BD13C4">
        <w:rPr>
          <w:rFonts w:eastAsia="Calibri" w:hint="eastAsia"/>
          <w:sz w:val="20"/>
          <w:szCs w:val="20"/>
          <w:lang w:eastAsia="en-US"/>
        </w:rPr>
        <w:t>ē</w:t>
      </w:r>
      <w:r w:rsidRPr="00BD13C4">
        <w:rPr>
          <w:rFonts w:eastAsia="Calibri"/>
          <w:sz w:val="20"/>
          <w:szCs w:val="20"/>
          <w:lang w:eastAsia="en-US"/>
        </w:rPr>
        <w:t xml:space="preserve">kas </w:t>
      </w:r>
      <w:r w:rsidRPr="00BD13C4">
        <w:rPr>
          <w:rFonts w:eastAsia="Calibri"/>
          <w:sz w:val="20"/>
          <w:szCs w:val="20"/>
          <w:lang w:eastAsia="en-US"/>
        </w:rPr>
        <w:t>energoefektivit</w:t>
      </w:r>
      <w:r w:rsidRPr="00BD13C4">
        <w:rPr>
          <w:rFonts w:eastAsia="Calibri" w:hint="eastAsia"/>
          <w:sz w:val="20"/>
          <w:szCs w:val="20"/>
          <w:lang w:eastAsia="en-US"/>
        </w:rPr>
        <w:t>ā</w:t>
      </w:r>
      <w:r w:rsidRPr="00BD13C4">
        <w:rPr>
          <w:rFonts w:eastAsia="Calibri"/>
          <w:sz w:val="20"/>
          <w:szCs w:val="20"/>
          <w:lang w:eastAsia="en-US"/>
        </w:rPr>
        <w:t>tes paaugstin</w:t>
      </w:r>
      <w:r w:rsidRPr="00BD13C4">
        <w:rPr>
          <w:rFonts w:eastAsia="Calibri" w:hint="eastAsia"/>
          <w:sz w:val="20"/>
          <w:szCs w:val="20"/>
          <w:lang w:eastAsia="en-US"/>
        </w:rPr>
        <w:t>āš</w:t>
      </w:r>
      <w:r w:rsidRPr="00BD13C4">
        <w:rPr>
          <w:rFonts w:eastAsia="Calibri"/>
          <w:sz w:val="20"/>
          <w:szCs w:val="20"/>
          <w:lang w:eastAsia="en-US"/>
        </w:rPr>
        <w:t>ana 108 178 EUR.</w:t>
      </w:r>
    </w:p>
    <w:p w:rsidR="00CA0C74" w:rsidRPr="00636B5C" w:rsidP="006F20E0" w14:paraId="5CF4BEAA" w14:textId="77777777">
      <w:pPr>
        <w:spacing w:line="240" w:lineRule="atLeast"/>
        <w:rPr>
          <w:b/>
          <w:color w:val="FF0000"/>
        </w:rPr>
      </w:pPr>
    </w:p>
    <w:p w:rsidR="008F4F19" w:rsidRPr="00636B5C" w:rsidP="006F20E0" w14:paraId="54595635" w14:textId="77777777">
      <w:pPr>
        <w:spacing w:line="240" w:lineRule="atLeast"/>
        <w:ind w:right="46"/>
        <w:rPr>
          <w:color w:val="FF0000"/>
        </w:rPr>
      </w:pPr>
    </w:p>
    <w:p w:rsidR="006F20E0" w:rsidP="006F20E0" w14:paraId="03A4B678" w14:textId="77777777">
      <w:pPr>
        <w:spacing w:line="240" w:lineRule="atLeast"/>
        <w:ind w:left="-284" w:right="46"/>
      </w:pPr>
    </w:p>
    <w:p w:rsidR="00981ABB" w:rsidRPr="00BD13C4" w:rsidP="006F20E0" w14:paraId="54595636" w14:textId="486FC9FC">
      <w:pPr>
        <w:spacing w:line="240" w:lineRule="atLeast"/>
        <w:ind w:left="-284" w:right="46"/>
      </w:pPr>
      <w:r w:rsidRPr="00BD13C4">
        <w:t>Domes priekšsēdētājs</w:t>
      </w:r>
      <w:r>
        <w:tab/>
      </w:r>
      <w:r>
        <w:tab/>
      </w:r>
      <w:r>
        <w:tab/>
      </w:r>
      <w:r>
        <w:tab/>
      </w:r>
      <w:r>
        <w:tab/>
      </w:r>
      <w:r>
        <w:tab/>
      </w:r>
      <w:r>
        <w:tab/>
      </w:r>
      <w:r>
        <w:tab/>
      </w:r>
      <w:r w:rsidRPr="00BD13C4">
        <w:t xml:space="preserve"> Monvīds Švarcs</w:t>
      </w:r>
    </w:p>
    <w:sectPr w:rsidSect="001F7379">
      <w:headerReference w:type="even" r:id="rId14"/>
      <w:headerReference w:type="default" r:id="rId15"/>
      <w:footerReference w:type="even" r:id="rId16"/>
      <w:footerReference w:type="default" r:id="rId17"/>
      <w:headerReference w:type="first" r:id="rId18"/>
      <w:footerReference w:type="first" r:id="rId19"/>
      <w:pgSz w:w="11906" w:h="16838"/>
      <w:pgMar w:top="907" w:right="851" w:bottom="907"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BA"/>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BA"/>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BA"/>
    <w:family w:val="swiss"/>
    <w:pitch w:val="variable"/>
    <w:sig w:usb0="E4002EFF" w:usb1="C000247B" w:usb2="00000009" w:usb3="00000000" w:csb0="000001FF" w:csb1="00000000"/>
  </w:font>
  <w:font w:name="Calibri Light">
    <w:panose1 w:val="020F0302020204030204"/>
    <w:charset w:val="BA"/>
    <w:family w:val="swiss"/>
    <w:pitch w:val="variable"/>
    <w:sig w:usb0="E4002EFF" w:usb1="C000247B" w:usb2="00000009" w:usb3="00000000" w:csb0="000001FF" w:csb1="00000000"/>
  </w:font>
  <w:font w:name="Verdana">
    <w:panose1 w:val="020B0604030504040204"/>
    <w:charset w:val="BA"/>
    <w:family w:val="swiss"/>
    <w:pitch w:val="variable"/>
    <w:sig w:usb0="A00006FF" w:usb1="4000205B" w:usb2="00000010" w:usb3="00000000" w:csb0="0000019F" w:csb1="00000000"/>
  </w:font>
  <w:font w:name="Arial">
    <w:panose1 w:val="020B0604020202020204"/>
    <w:charset w:val="BA"/>
    <w:family w:val="swiss"/>
    <w:pitch w:val="variable"/>
    <w:sig w:usb0="E0002EFF" w:usb1="C000785B" w:usb2="00000009" w:usb3="00000000" w:csb0="000001FF" w:csb1="00000000"/>
  </w:font>
  <w:font w:name="Lucida Sans Unicode">
    <w:panose1 w:val="020B0602030504020204"/>
    <w:charset w:val="BA"/>
    <w:family w:val="swiss"/>
    <w:pitch w:val="variable"/>
    <w:sig w:usb0="80000AFF" w:usb1="0000396B" w:usb2="00000000" w:usb3="00000000" w:csb0="000000BF" w:csb1="00000000"/>
  </w:font>
  <w:font w:name="Tahoma">
    <w:panose1 w:val="020B0604030504040204"/>
    <w:charset w:val="BA"/>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rsidR="00DC71E4" w14:paraId="5459563D" w14:textId="7777777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sdt>
    <w:sdtPr>
      <w:id w:val="194274613"/>
      <w:docPartObj>
        <w:docPartGallery w:val="Page Numbers (Bottom of Page)"/>
        <w:docPartUnique/>
      </w:docPartObj>
    </w:sdtPr>
    <w:sdtEndPr>
      <w:rPr>
        <w:noProof/>
      </w:rPr>
    </w:sdtEndPr>
    <w:sdtContent>
      <w:p w:rsidR="008B77E9" w14:paraId="5459563E" w14:textId="77777777">
        <w:pPr>
          <w:pStyle w:val="Footer"/>
          <w:jc w:val="center"/>
        </w:pPr>
        <w:r w:rsidRPr="008B77E9">
          <w:rPr>
            <w:sz w:val="16"/>
            <w:szCs w:val="16"/>
          </w:rPr>
          <w:fldChar w:fldCharType="begin"/>
        </w:r>
        <w:r w:rsidRPr="008B77E9">
          <w:rPr>
            <w:sz w:val="16"/>
            <w:szCs w:val="16"/>
          </w:rPr>
          <w:instrText xml:space="preserve"> PAGE   \* MERGEFORMAT </w:instrText>
        </w:r>
        <w:r w:rsidRPr="008B77E9">
          <w:rPr>
            <w:sz w:val="16"/>
            <w:szCs w:val="16"/>
          </w:rPr>
          <w:fldChar w:fldCharType="separate"/>
        </w:r>
        <w:r w:rsidR="00552DDA">
          <w:rPr>
            <w:noProof/>
            <w:sz w:val="16"/>
            <w:szCs w:val="16"/>
          </w:rPr>
          <w:t>1</w:t>
        </w:r>
        <w:r w:rsidRPr="008B77E9">
          <w:rPr>
            <w:noProof/>
            <w:sz w:val="16"/>
            <w:szCs w:val="16"/>
          </w:rPr>
          <w:fldChar w:fldCharType="end"/>
        </w:r>
      </w:p>
    </w:sdtContent>
  </w:sdt>
  <w:p w:rsidR="00096453" w14:paraId="5459563F" w14:textId="77777777"/>
  <w:p w:rsidR="00B570BA" w14:paraId="54595640" w14:textId="77777777">
    <w:r>
      <w:t xml:space="preserve">          </w:t>
    </w:r>
  </w:p>
  <w:p>
    <w:pPr>
      <w:jc w:val="center"/>
    </w:pPr>
    <w:r>
      <w:rPr>
        <w:rFonts w:ascii="Calibri" w:eastAsia="Calibri" w:hAnsi="Calibri" w:cs="Calibri"/>
        <w:b w:val="0"/>
        <w:i w:val="0"/>
        <w:sz w:val="22"/>
      </w:rPr>
      <w:t>Šis dokuments ir parakstīts ar drošu elektronisko parakstu un satur laika zīmogu</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rsidR="00096453" w14:paraId="54595642" w14:textId="77777777">
    <w:r>
      <w:t xml:space="preserve">          Šis dokuments ir parakstīts ar drošu elektronisko parakstu un satur laika zīmogu</w:t>
    </w:r>
  </w:p>
  <w:p w:rsidR="00096453" w14:paraId="54595643" w14:textId="77777777">
    <w:r>
      <w:t xml:space="preserve">          Šis dokuments ir parakstīts ar drošu elektronisko parakstu un satur laika zīmogu</w:t>
    </w:r>
  </w:p>
  <w:p w:rsidR="00B570BA" w14:paraId="54595644" w14:textId="77777777">
    <w:r>
      <w:t xml:space="preserve">          Šis dokuments ir parakstīts ar drošu elektronisko parakstu un satur laika zīmogu</w:t>
    </w:r>
  </w:p>
</w:ftr>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rsidR="00DC71E4" w14:paraId="5459563B" w14:textId="7777777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rsidR="00DC71E4" w14:paraId="5459563C" w14:textId="7777777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rsidR="00DC71E4" w14:paraId="54595641" w14:textId="7777777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abstractNum w:abstractNumId="0">
    <w:nsid w:val="00C12294"/>
    <w:multiLevelType w:val="hybridMultilevel"/>
    <w:tmpl w:val="05D2B70C"/>
    <w:lvl w:ilvl="0">
      <w:start w:val="1"/>
      <w:numFmt w:val="decimal"/>
      <w:lvlText w:val="%1."/>
      <w:lvlJc w:val="left"/>
      <w:pPr>
        <w:ind w:left="720" w:hanging="360"/>
      </w:pPr>
      <w:rPr>
        <w:rFonts w:hint="default"/>
        <w:i/>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1">
    <w:nsid w:val="035B5906"/>
    <w:multiLevelType w:val="hybridMultilevel"/>
    <w:tmpl w:val="F25C63BC"/>
    <w:lvl w:ilvl="0">
      <w:start w:val="1"/>
      <w:numFmt w:val="bullet"/>
      <w:lvlText w:val=""/>
      <w:lvlJc w:val="left"/>
      <w:pPr>
        <w:ind w:left="1440" w:hanging="360"/>
      </w:pPr>
      <w:rPr>
        <w:rFonts w:ascii="Symbol" w:hAnsi="Symbol" w:hint="default"/>
      </w:rPr>
    </w:lvl>
    <w:lvl w:ilvl="1" w:tentative="1">
      <w:start w:val="1"/>
      <w:numFmt w:val="bullet"/>
      <w:lvlText w:val="o"/>
      <w:lvlJc w:val="left"/>
      <w:pPr>
        <w:ind w:left="2160" w:hanging="360"/>
      </w:pPr>
      <w:rPr>
        <w:rFonts w:ascii="Courier New" w:hAnsi="Courier New" w:cs="Courier New" w:hint="default"/>
      </w:rPr>
    </w:lvl>
    <w:lvl w:ilvl="2" w:tentative="1">
      <w:start w:val="1"/>
      <w:numFmt w:val="bullet"/>
      <w:lvlText w:val=""/>
      <w:lvlJc w:val="left"/>
      <w:pPr>
        <w:ind w:left="2880" w:hanging="360"/>
      </w:pPr>
      <w:rPr>
        <w:rFonts w:ascii="Wingdings" w:hAnsi="Wingdings" w:hint="default"/>
      </w:rPr>
    </w:lvl>
    <w:lvl w:ilvl="3" w:tentative="1">
      <w:start w:val="1"/>
      <w:numFmt w:val="bullet"/>
      <w:lvlText w:val=""/>
      <w:lvlJc w:val="left"/>
      <w:pPr>
        <w:ind w:left="3600" w:hanging="360"/>
      </w:pPr>
      <w:rPr>
        <w:rFonts w:ascii="Symbol" w:hAnsi="Symbol" w:hint="default"/>
      </w:rPr>
    </w:lvl>
    <w:lvl w:ilvl="4" w:tentative="1">
      <w:start w:val="1"/>
      <w:numFmt w:val="bullet"/>
      <w:lvlText w:val="o"/>
      <w:lvlJc w:val="left"/>
      <w:pPr>
        <w:ind w:left="4320" w:hanging="360"/>
      </w:pPr>
      <w:rPr>
        <w:rFonts w:ascii="Courier New" w:hAnsi="Courier New" w:cs="Courier New" w:hint="default"/>
      </w:rPr>
    </w:lvl>
    <w:lvl w:ilvl="5" w:tentative="1">
      <w:start w:val="1"/>
      <w:numFmt w:val="bullet"/>
      <w:lvlText w:val=""/>
      <w:lvlJc w:val="left"/>
      <w:pPr>
        <w:ind w:left="5040" w:hanging="360"/>
      </w:pPr>
      <w:rPr>
        <w:rFonts w:ascii="Wingdings" w:hAnsi="Wingdings" w:hint="default"/>
      </w:rPr>
    </w:lvl>
    <w:lvl w:ilvl="6" w:tentative="1">
      <w:start w:val="1"/>
      <w:numFmt w:val="bullet"/>
      <w:lvlText w:val=""/>
      <w:lvlJc w:val="left"/>
      <w:pPr>
        <w:ind w:left="5760" w:hanging="360"/>
      </w:pPr>
      <w:rPr>
        <w:rFonts w:ascii="Symbol" w:hAnsi="Symbol" w:hint="default"/>
      </w:rPr>
    </w:lvl>
    <w:lvl w:ilvl="7" w:tentative="1">
      <w:start w:val="1"/>
      <w:numFmt w:val="bullet"/>
      <w:lvlText w:val="o"/>
      <w:lvlJc w:val="left"/>
      <w:pPr>
        <w:ind w:left="6480" w:hanging="360"/>
      </w:pPr>
      <w:rPr>
        <w:rFonts w:ascii="Courier New" w:hAnsi="Courier New" w:cs="Courier New" w:hint="default"/>
      </w:rPr>
    </w:lvl>
    <w:lvl w:ilvl="8" w:tentative="1">
      <w:start w:val="1"/>
      <w:numFmt w:val="bullet"/>
      <w:lvlText w:val=""/>
      <w:lvlJc w:val="left"/>
      <w:pPr>
        <w:ind w:left="7200" w:hanging="360"/>
      </w:pPr>
      <w:rPr>
        <w:rFonts w:ascii="Wingdings" w:hAnsi="Wingdings" w:hint="default"/>
      </w:rPr>
    </w:lvl>
  </w:abstractNum>
  <w:abstractNum w:abstractNumId="2">
    <w:nsid w:val="17D73C9D"/>
    <w:multiLevelType w:val="hybridMultilevel"/>
    <w:tmpl w:val="37C4AE82"/>
    <w:lvl w:ilvl="0">
      <w:start w:val="1"/>
      <w:numFmt w:val="bullet"/>
      <w:lvlText w:val=""/>
      <w:lvlJc w:val="left"/>
      <w:pPr>
        <w:ind w:left="720" w:hanging="360"/>
      </w:pPr>
      <w:rPr>
        <w:rFonts w:ascii="Symbol" w:hAnsi="Symbol" w:hint="default"/>
      </w:rPr>
    </w:lvl>
    <w:lvl w:ilvl="1" w:tentative="1">
      <w:start w:val="1"/>
      <w:numFmt w:val="bullet"/>
      <w:lvlText w:val="o"/>
      <w:lvlJc w:val="left"/>
      <w:pPr>
        <w:ind w:left="1440" w:hanging="360"/>
      </w:pPr>
      <w:rPr>
        <w:rFonts w:ascii="Courier New" w:hAnsi="Courier New" w:cs="Courier New" w:hint="default"/>
      </w:rPr>
    </w:lvl>
    <w:lvl w:ilvl="2" w:tentative="1">
      <w:start w:val="1"/>
      <w:numFmt w:val="bullet"/>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abstractNum w:abstractNumId="3">
    <w:nsid w:val="19C00E22"/>
    <w:multiLevelType w:val="hybridMultilevel"/>
    <w:tmpl w:val="E7B49F10"/>
    <w:lvl w:ilvl="0">
      <w:start w:val="1"/>
      <w:numFmt w:val="bullet"/>
      <w:lvlText w:val=""/>
      <w:lvlJc w:val="left"/>
      <w:pPr>
        <w:ind w:left="720" w:hanging="360"/>
      </w:pPr>
      <w:rPr>
        <w:rFonts w:ascii="Symbol" w:hAnsi="Symbol" w:hint="default"/>
      </w:rPr>
    </w:lvl>
    <w:lvl w:ilvl="1" w:tentative="1">
      <w:start w:val="1"/>
      <w:numFmt w:val="bullet"/>
      <w:lvlText w:val="o"/>
      <w:lvlJc w:val="left"/>
      <w:pPr>
        <w:ind w:left="1440" w:hanging="360"/>
      </w:pPr>
      <w:rPr>
        <w:rFonts w:ascii="Courier New" w:hAnsi="Courier New" w:cs="Courier New" w:hint="default"/>
      </w:rPr>
    </w:lvl>
    <w:lvl w:ilvl="2" w:tentative="1">
      <w:start w:val="1"/>
      <w:numFmt w:val="bullet"/>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abstractNum w:abstractNumId="4">
    <w:nsid w:val="213A6629"/>
    <w:multiLevelType w:val="multilevel"/>
    <w:tmpl w:val="1AFA388E"/>
    <w:lvl w:ilvl="0">
      <w:start w:val="1"/>
      <w:numFmt w:val="decimal"/>
      <w:lvlText w:val="1.%1."/>
      <w:lvlJc w:val="left"/>
      <w:pPr>
        <w:ind w:left="1440" w:hanging="360"/>
      </w:pPr>
      <w:rPr>
        <w:rFonts w:hint="default"/>
        <w:b w:val="0"/>
        <w:bCs w:val="0"/>
      </w:rPr>
    </w:lvl>
    <w:lvl w:ilvl="1">
      <w:start w:val="1"/>
      <w:numFmt w:val="decimal"/>
      <w:lvlText w:val="1.5.%2."/>
      <w:lvlJc w:val="left"/>
      <w:pPr>
        <w:ind w:left="2160" w:hanging="360"/>
      </w:pPr>
      <w:rPr>
        <w:rFonts w:hint="default"/>
      </w:rPr>
    </w:lvl>
    <w:lvl w:ilvl="2">
      <w:start w:val="1"/>
      <w:numFmt w:val="lowerRoman"/>
      <w:lvlText w:val="%3."/>
      <w:lvlJc w:val="right"/>
      <w:pPr>
        <w:ind w:left="2880" w:hanging="180"/>
      </w:pPr>
      <w:rPr>
        <w:rFonts w:hint="default"/>
      </w:rPr>
    </w:lvl>
    <w:lvl w:ilvl="3">
      <w:start w:val="1"/>
      <w:numFmt w:val="decimal"/>
      <w:lvlText w:val="%4."/>
      <w:lvlJc w:val="left"/>
      <w:pPr>
        <w:ind w:left="3600" w:hanging="360"/>
      </w:pPr>
      <w:rPr>
        <w:rFonts w:hint="default"/>
      </w:rPr>
    </w:lvl>
    <w:lvl w:ilvl="4">
      <w:start w:val="1"/>
      <w:numFmt w:val="lowerLetter"/>
      <w:lvlText w:val="%5."/>
      <w:lvlJc w:val="left"/>
      <w:pPr>
        <w:ind w:left="4320" w:hanging="360"/>
      </w:pPr>
      <w:rPr>
        <w:rFonts w:hint="default"/>
      </w:rPr>
    </w:lvl>
    <w:lvl w:ilvl="5">
      <w:start w:val="1"/>
      <w:numFmt w:val="lowerRoman"/>
      <w:lvlText w:val="%6."/>
      <w:lvlJc w:val="right"/>
      <w:pPr>
        <w:ind w:left="5040" w:hanging="180"/>
      </w:pPr>
      <w:rPr>
        <w:rFonts w:hint="default"/>
      </w:rPr>
    </w:lvl>
    <w:lvl w:ilvl="6">
      <w:start w:val="1"/>
      <w:numFmt w:val="decimal"/>
      <w:lvlText w:val="%7."/>
      <w:lvlJc w:val="left"/>
      <w:pPr>
        <w:ind w:left="5760" w:hanging="360"/>
      </w:pPr>
      <w:rPr>
        <w:rFonts w:hint="default"/>
      </w:rPr>
    </w:lvl>
    <w:lvl w:ilvl="7">
      <w:start w:val="1"/>
      <w:numFmt w:val="lowerLetter"/>
      <w:lvlText w:val="%8."/>
      <w:lvlJc w:val="left"/>
      <w:pPr>
        <w:ind w:left="6480" w:hanging="360"/>
      </w:pPr>
      <w:rPr>
        <w:rFonts w:hint="default"/>
      </w:rPr>
    </w:lvl>
    <w:lvl w:ilvl="8">
      <w:start w:val="1"/>
      <w:numFmt w:val="lowerRoman"/>
      <w:lvlText w:val="%9."/>
      <w:lvlJc w:val="right"/>
      <w:pPr>
        <w:ind w:left="7200" w:hanging="180"/>
      </w:pPr>
      <w:rPr>
        <w:rFonts w:hint="default"/>
      </w:rPr>
    </w:lvl>
  </w:abstractNum>
  <w:abstractNum w:abstractNumId="5">
    <w:nsid w:val="2C1A09C2"/>
    <w:multiLevelType w:val="hybridMultilevel"/>
    <w:tmpl w:val="F168BEFA"/>
    <w:lvl w:ilvl="0">
      <w:start w:val="1"/>
      <w:numFmt w:val="bullet"/>
      <w:lvlText w:val=""/>
      <w:lvlJc w:val="left"/>
      <w:pPr>
        <w:ind w:left="720" w:hanging="360"/>
      </w:pPr>
      <w:rPr>
        <w:rFonts w:ascii="Symbol" w:hAnsi="Symbol" w:hint="default"/>
      </w:rPr>
    </w:lvl>
    <w:lvl w:ilvl="1" w:tentative="1">
      <w:start w:val="1"/>
      <w:numFmt w:val="bullet"/>
      <w:lvlText w:val="o"/>
      <w:lvlJc w:val="left"/>
      <w:pPr>
        <w:ind w:left="1440" w:hanging="360"/>
      </w:pPr>
      <w:rPr>
        <w:rFonts w:ascii="Courier New" w:hAnsi="Courier New" w:cs="Courier New" w:hint="default"/>
      </w:rPr>
    </w:lvl>
    <w:lvl w:ilvl="2" w:tentative="1">
      <w:start w:val="1"/>
      <w:numFmt w:val="bullet"/>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abstractNum w:abstractNumId="6">
    <w:nsid w:val="2DB65BB0"/>
    <w:multiLevelType w:val="hybridMultilevel"/>
    <w:tmpl w:val="89BC79B6"/>
    <w:lvl w:ilvl="0">
      <w:start w:val="1"/>
      <w:numFmt w:val="bullet"/>
      <w:lvlText w:val=""/>
      <w:lvlJc w:val="left"/>
      <w:pPr>
        <w:ind w:left="1440" w:hanging="360"/>
      </w:pPr>
      <w:rPr>
        <w:rFonts w:ascii="Symbol" w:hAnsi="Symbol" w:hint="default"/>
      </w:rPr>
    </w:lvl>
    <w:lvl w:ilvl="1" w:tentative="1">
      <w:start w:val="1"/>
      <w:numFmt w:val="bullet"/>
      <w:lvlText w:val="o"/>
      <w:lvlJc w:val="left"/>
      <w:pPr>
        <w:ind w:left="2160" w:hanging="360"/>
      </w:pPr>
      <w:rPr>
        <w:rFonts w:ascii="Courier New" w:hAnsi="Courier New" w:cs="Courier New" w:hint="default"/>
      </w:rPr>
    </w:lvl>
    <w:lvl w:ilvl="2" w:tentative="1">
      <w:start w:val="1"/>
      <w:numFmt w:val="bullet"/>
      <w:lvlText w:val=""/>
      <w:lvlJc w:val="left"/>
      <w:pPr>
        <w:ind w:left="2880" w:hanging="360"/>
      </w:pPr>
      <w:rPr>
        <w:rFonts w:ascii="Wingdings" w:hAnsi="Wingdings" w:hint="default"/>
      </w:rPr>
    </w:lvl>
    <w:lvl w:ilvl="3" w:tentative="1">
      <w:start w:val="1"/>
      <w:numFmt w:val="bullet"/>
      <w:lvlText w:val=""/>
      <w:lvlJc w:val="left"/>
      <w:pPr>
        <w:ind w:left="3600" w:hanging="360"/>
      </w:pPr>
      <w:rPr>
        <w:rFonts w:ascii="Symbol" w:hAnsi="Symbol" w:hint="default"/>
      </w:rPr>
    </w:lvl>
    <w:lvl w:ilvl="4" w:tentative="1">
      <w:start w:val="1"/>
      <w:numFmt w:val="bullet"/>
      <w:lvlText w:val="o"/>
      <w:lvlJc w:val="left"/>
      <w:pPr>
        <w:ind w:left="4320" w:hanging="360"/>
      </w:pPr>
      <w:rPr>
        <w:rFonts w:ascii="Courier New" w:hAnsi="Courier New" w:cs="Courier New" w:hint="default"/>
      </w:rPr>
    </w:lvl>
    <w:lvl w:ilvl="5" w:tentative="1">
      <w:start w:val="1"/>
      <w:numFmt w:val="bullet"/>
      <w:lvlText w:val=""/>
      <w:lvlJc w:val="left"/>
      <w:pPr>
        <w:ind w:left="5040" w:hanging="360"/>
      </w:pPr>
      <w:rPr>
        <w:rFonts w:ascii="Wingdings" w:hAnsi="Wingdings" w:hint="default"/>
      </w:rPr>
    </w:lvl>
    <w:lvl w:ilvl="6" w:tentative="1">
      <w:start w:val="1"/>
      <w:numFmt w:val="bullet"/>
      <w:lvlText w:val=""/>
      <w:lvlJc w:val="left"/>
      <w:pPr>
        <w:ind w:left="5760" w:hanging="360"/>
      </w:pPr>
      <w:rPr>
        <w:rFonts w:ascii="Symbol" w:hAnsi="Symbol" w:hint="default"/>
      </w:rPr>
    </w:lvl>
    <w:lvl w:ilvl="7" w:tentative="1">
      <w:start w:val="1"/>
      <w:numFmt w:val="bullet"/>
      <w:lvlText w:val="o"/>
      <w:lvlJc w:val="left"/>
      <w:pPr>
        <w:ind w:left="6480" w:hanging="360"/>
      </w:pPr>
      <w:rPr>
        <w:rFonts w:ascii="Courier New" w:hAnsi="Courier New" w:cs="Courier New" w:hint="default"/>
      </w:rPr>
    </w:lvl>
    <w:lvl w:ilvl="8" w:tentative="1">
      <w:start w:val="1"/>
      <w:numFmt w:val="bullet"/>
      <w:lvlText w:val=""/>
      <w:lvlJc w:val="left"/>
      <w:pPr>
        <w:ind w:left="7200" w:hanging="360"/>
      </w:pPr>
      <w:rPr>
        <w:rFonts w:ascii="Wingdings" w:hAnsi="Wingdings" w:hint="default"/>
      </w:rPr>
    </w:lvl>
  </w:abstractNum>
  <w:abstractNum w:abstractNumId="7">
    <w:nsid w:val="31A128F7"/>
    <w:multiLevelType w:val="multilevel"/>
    <w:tmpl w:val="1AFA388E"/>
    <w:lvl w:ilvl="0">
      <w:start w:val="1"/>
      <w:numFmt w:val="decimal"/>
      <w:lvlText w:val="1.%1."/>
      <w:lvlJc w:val="left"/>
      <w:pPr>
        <w:ind w:left="1440" w:hanging="360"/>
      </w:pPr>
      <w:rPr>
        <w:rFonts w:hint="default"/>
        <w:b w:val="0"/>
        <w:bCs w:val="0"/>
      </w:rPr>
    </w:lvl>
    <w:lvl w:ilvl="1">
      <w:start w:val="1"/>
      <w:numFmt w:val="decimal"/>
      <w:lvlText w:val="1.5.%2."/>
      <w:lvlJc w:val="left"/>
      <w:pPr>
        <w:ind w:left="2160" w:hanging="360"/>
      </w:pPr>
      <w:rPr>
        <w:rFonts w:hint="default"/>
      </w:rPr>
    </w:lvl>
    <w:lvl w:ilvl="2">
      <w:start w:val="1"/>
      <w:numFmt w:val="lowerRoman"/>
      <w:lvlText w:val="%3."/>
      <w:lvlJc w:val="right"/>
      <w:pPr>
        <w:ind w:left="2880" w:hanging="180"/>
      </w:pPr>
      <w:rPr>
        <w:rFonts w:hint="default"/>
      </w:rPr>
    </w:lvl>
    <w:lvl w:ilvl="3">
      <w:start w:val="1"/>
      <w:numFmt w:val="decimal"/>
      <w:lvlText w:val="%4."/>
      <w:lvlJc w:val="left"/>
      <w:pPr>
        <w:ind w:left="3600" w:hanging="360"/>
      </w:pPr>
      <w:rPr>
        <w:rFonts w:hint="default"/>
      </w:rPr>
    </w:lvl>
    <w:lvl w:ilvl="4">
      <w:start w:val="1"/>
      <w:numFmt w:val="lowerLetter"/>
      <w:lvlText w:val="%5."/>
      <w:lvlJc w:val="left"/>
      <w:pPr>
        <w:ind w:left="4320" w:hanging="360"/>
      </w:pPr>
      <w:rPr>
        <w:rFonts w:hint="default"/>
      </w:rPr>
    </w:lvl>
    <w:lvl w:ilvl="5">
      <w:start w:val="1"/>
      <w:numFmt w:val="lowerRoman"/>
      <w:lvlText w:val="%6."/>
      <w:lvlJc w:val="right"/>
      <w:pPr>
        <w:ind w:left="5040" w:hanging="180"/>
      </w:pPr>
      <w:rPr>
        <w:rFonts w:hint="default"/>
      </w:rPr>
    </w:lvl>
    <w:lvl w:ilvl="6">
      <w:start w:val="1"/>
      <w:numFmt w:val="decimal"/>
      <w:lvlText w:val="%7."/>
      <w:lvlJc w:val="left"/>
      <w:pPr>
        <w:ind w:left="5760" w:hanging="360"/>
      </w:pPr>
      <w:rPr>
        <w:rFonts w:hint="default"/>
      </w:rPr>
    </w:lvl>
    <w:lvl w:ilvl="7">
      <w:start w:val="1"/>
      <w:numFmt w:val="lowerLetter"/>
      <w:lvlText w:val="%8."/>
      <w:lvlJc w:val="left"/>
      <w:pPr>
        <w:ind w:left="6480" w:hanging="360"/>
      </w:pPr>
      <w:rPr>
        <w:rFonts w:hint="default"/>
      </w:rPr>
    </w:lvl>
    <w:lvl w:ilvl="8">
      <w:start w:val="1"/>
      <w:numFmt w:val="lowerRoman"/>
      <w:lvlText w:val="%9."/>
      <w:lvlJc w:val="right"/>
      <w:pPr>
        <w:ind w:left="7200" w:hanging="180"/>
      </w:pPr>
      <w:rPr>
        <w:rFonts w:hint="default"/>
      </w:rPr>
    </w:lvl>
  </w:abstractNum>
  <w:abstractNum w:abstractNumId="8">
    <w:nsid w:val="32983031"/>
    <w:multiLevelType w:val="hybridMultilevel"/>
    <w:tmpl w:val="68C24DDE"/>
    <w:lvl w:ilvl="0">
      <w:start w:val="1"/>
      <w:numFmt w:val="bullet"/>
      <w:lvlText w:val=""/>
      <w:lvlJc w:val="left"/>
      <w:pPr>
        <w:ind w:left="720" w:hanging="360"/>
      </w:pPr>
      <w:rPr>
        <w:rFonts w:ascii="Symbol" w:hAnsi="Symbol" w:hint="default"/>
      </w:rPr>
    </w:lvl>
    <w:lvl w:ilvl="1" w:tentative="1">
      <w:start w:val="1"/>
      <w:numFmt w:val="bullet"/>
      <w:lvlText w:val="o"/>
      <w:lvlJc w:val="left"/>
      <w:pPr>
        <w:ind w:left="1440" w:hanging="360"/>
      </w:pPr>
      <w:rPr>
        <w:rFonts w:ascii="Courier New" w:hAnsi="Courier New" w:cs="Courier New" w:hint="default"/>
      </w:rPr>
    </w:lvl>
    <w:lvl w:ilvl="2" w:tentative="1">
      <w:start w:val="1"/>
      <w:numFmt w:val="bullet"/>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abstractNum w:abstractNumId="9">
    <w:nsid w:val="37DC2BCE"/>
    <w:multiLevelType w:val="hybridMultilevel"/>
    <w:tmpl w:val="5CD6EAE8"/>
    <w:lvl w:ilvl="0">
      <w:start w:val="1"/>
      <w:numFmt w:val="bullet"/>
      <w:lvlText w:val=""/>
      <w:lvlJc w:val="left"/>
      <w:pPr>
        <w:ind w:left="1440" w:hanging="360"/>
      </w:pPr>
      <w:rPr>
        <w:rFonts w:ascii="Symbol" w:hAnsi="Symbol" w:hint="default"/>
      </w:rPr>
    </w:lvl>
    <w:lvl w:ilvl="1" w:tentative="1">
      <w:start w:val="1"/>
      <w:numFmt w:val="bullet"/>
      <w:lvlText w:val="o"/>
      <w:lvlJc w:val="left"/>
      <w:pPr>
        <w:ind w:left="2160" w:hanging="360"/>
      </w:pPr>
      <w:rPr>
        <w:rFonts w:ascii="Courier New" w:hAnsi="Courier New" w:cs="Courier New" w:hint="default"/>
      </w:rPr>
    </w:lvl>
    <w:lvl w:ilvl="2" w:tentative="1">
      <w:start w:val="1"/>
      <w:numFmt w:val="bullet"/>
      <w:lvlText w:val=""/>
      <w:lvlJc w:val="left"/>
      <w:pPr>
        <w:ind w:left="2880" w:hanging="360"/>
      </w:pPr>
      <w:rPr>
        <w:rFonts w:ascii="Wingdings" w:hAnsi="Wingdings" w:hint="default"/>
      </w:rPr>
    </w:lvl>
    <w:lvl w:ilvl="3" w:tentative="1">
      <w:start w:val="1"/>
      <w:numFmt w:val="bullet"/>
      <w:lvlText w:val=""/>
      <w:lvlJc w:val="left"/>
      <w:pPr>
        <w:ind w:left="3600" w:hanging="360"/>
      </w:pPr>
      <w:rPr>
        <w:rFonts w:ascii="Symbol" w:hAnsi="Symbol" w:hint="default"/>
      </w:rPr>
    </w:lvl>
    <w:lvl w:ilvl="4" w:tentative="1">
      <w:start w:val="1"/>
      <w:numFmt w:val="bullet"/>
      <w:lvlText w:val="o"/>
      <w:lvlJc w:val="left"/>
      <w:pPr>
        <w:ind w:left="4320" w:hanging="360"/>
      </w:pPr>
      <w:rPr>
        <w:rFonts w:ascii="Courier New" w:hAnsi="Courier New" w:cs="Courier New" w:hint="default"/>
      </w:rPr>
    </w:lvl>
    <w:lvl w:ilvl="5" w:tentative="1">
      <w:start w:val="1"/>
      <w:numFmt w:val="bullet"/>
      <w:lvlText w:val=""/>
      <w:lvlJc w:val="left"/>
      <w:pPr>
        <w:ind w:left="5040" w:hanging="360"/>
      </w:pPr>
      <w:rPr>
        <w:rFonts w:ascii="Wingdings" w:hAnsi="Wingdings" w:hint="default"/>
      </w:rPr>
    </w:lvl>
    <w:lvl w:ilvl="6" w:tentative="1">
      <w:start w:val="1"/>
      <w:numFmt w:val="bullet"/>
      <w:lvlText w:val=""/>
      <w:lvlJc w:val="left"/>
      <w:pPr>
        <w:ind w:left="5760" w:hanging="360"/>
      </w:pPr>
      <w:rPr>
        <w:rFonts w:ascii="Symbol" w:hAnsi="Symbol" w:hint="default"/>
      </w:rPr>
    </w:lvl>
    <w:lvl w:ilvl="7" w:tentative="1">
      <w:start w:val="1"/>
      <w:numFmt w:val="bullet"/>
      <w:lvlText w:val="o"/>
      <w:lvlJc w:val="left"/>
      <w:pPr>
        <w:ind w:left="6480" w:hanging="360"/>
      </w:pPr>
      <w:rPr>
        <w:rFonts w:ascii="Courier New" w:hAnsi="Courier New" w:cs="Courier New" w:hint="default"/>
      </w:rPr>
    </w:lvl>
    <w:lvl w:ilvl="8" w:tentative="1">
      <w:start w:val="1"/>
      <w:numFmt w:val="bullet"/>
      <w:lvlText w:val=""/>
      <w:lvlJc w:val="left"/>
      <w:pPr>
        <w:ind w:left="7200" w:hanging="360"/>
      </w:pPr>
      <w:rPr>
        <w:rFonts w:ascii="Wingdings" w:hAnsi="Wingdings" w:hint="default"/>
      </w:rPr>
    </w:lvl>
  </w:abstractNum>
  <w:abstractNum w:abstractNumId="10">
    <w:nsid w:val="40BE6AEB"/>
    <w:multiLevelType w:val="multilevel"/>
    <w:tmpl w:val="1AFA388E"/>
    <w:lvl w:ilvl="0">
      <w:start w:val="1"/>
      <w:numFmt w:val="decimal"/>
      <w:lvlText w:val="1.%1."/>
      <w:lvlJc w:val="left"/>
      <w:pPr>
        <w:ind w:left="1440" w:hanging="360"/>
      </w:pPr>
      <w:rPr>
        <w:rFonts w:hint="default"/>
        <w:b w:val="0"/>
        <w:bCs w:val="0"/>
      </w:rPr>
    </w:lvl>
    <w:lvl w:ilvl="1">
      <w:start w:val="1"/>
      <w:numFmt w:val="decimal"/>
      <w:lvlText w:val="1.5.%2."/>
      <w:lvlJc w:val="left"/>
      <w:pPr>
        <w:ind w:left="2160" w:hanging="360"/>
      </w:pPr>
      <w:rPr>
        <w:rFonts w:hint="default"/>
      </w:rPr>
    </w:lvl>
    <w:lvl w:ilvl="2">
      <w:start w:val="1"/>
      <w:numFmt w:val="lowerRoman"/>
      <w:lvlText w:val="%3."/>
      <w:lvlJc w:val="right"/>
      <w:pPr>
        <w:ind w:left="2880" w:hanging="180"/>
      </w:pPr>
      <w:rPr>
        <w:rFonts w:hint="default"/>
      </w:rPr>
    </w:lvl>
    <w:lvl w:ilvl="3">
      <w:start w:val="1"/>
      <w:numFmt w:val="decimal"/>
      <w:lvlText w:val="%4."/>
      <w:lvlJc w:val="left"/>
      <w:pPr>
        <w:ind w:left="3600" w:hanging="360"/>
      </w:pPr>
      <w:rPr>
        <w:rFonts w:hint="default"/>
      </w:rPr>
    </w:lvl>
    <w:lvl w:ilvl="4">
      <w:start w:val="1"/>
      <w:numFmt w:val="lowerLetter"/>
      <w:lvlText w:val="%5."/>
      <w:lvlJc w:val="left"/>
      <w:pPr>
        <w:ind w:left="4320" w:hanging="360"/>
      </w:pPr>
      <w:rPr>
        <w:rFonts w:hint="default"/>
      </w:rPr>
    </w:lvl>
    <w:lvl w:ilvl="5">
      <w:start w:val="1"/>
      <w:numFmt w:val="lowerRoman"/>
      <w:lvlText w:val="%6."/>
      <w:lvlJc w:val="right"/>
      <w:pPr>
        <w:ind w:left="5040" w:hanging="180"/>
      </w:pPr>
      <w:rPr>
        <w:rFonts w:hint="default"/>
      </w:rPr>
    </w:lvl>
    <w:lvl w:ilvl="6">
      <w:start w:val="1"/>
      <w:numFmt w:val="decimal"/>
      <w:lvlText w:val="%7."/>
      <w:lvlJc w:val="left"/>
      <w:pPr>
        <w:ind w:left="5760" w:hanging="360"/>
      </w:pPr>
      <w:rPr>
        <w:rFonts w:hint="default"/>
      </w:rPr>
    </w:lvl>
    <w:lvl w:ilvl="7">
      <w:start w:val="1"/>
      <w:numFmt w:val="lowerLetter"/>
      <w:lvlText w:val="%8."/>
      <w:lvlJc w:val="left"/>
      <w:pPr>
        <w:ind w:left="6480" w:hanging="360"/>
      </w:pPr>
      <w:rPr>
        <w:rFonts w:hint="default"/>
      </w:rPr>
    </w:lvl>
    <w:lvl w:ilvl="8">
      <w:start w:val="1"/>
      <w:numFmt w:val="lowerRoman"/>
      <w:lvlText w:val="%9."/>
      <w:lvlJc w:val="right"/>
      <w:pPr>
        <w:ind w:left="7200" w:hanging="180"/>
      </w:pPr>
      <w:rPr>
        <w:rFonts w:hint="default"/>
      </w:rPr>
    </w:lvl>
  </w:abstractNum>
  <w:abstractNum w:abstractNumId="11">
    <w:nsid w:val="4E7F23D5"/>
    <w:multiLevelType w:val="hybridMultilevel"/>
    <w:tmpl w:val="D43EF0E2"/>
    <w:lvl w:ilvl="0">
      <w:start w:val="1"/>
      <w:numFmt w:val="bullet"/>
      <w:lvlText w:val=""/>
      <w:lvlJc w:val="left"/>
      <w:pPr>
        <w:ind w:left="720" w:hanging="360"/>
      </w:pPr>
      <w:rPr>
        <w:rFonts w:ascii="Symbol" w:hAnsi="Symbol" w:hint="default"/>
      </w:rPr>
    </w:lvl>
    <w:lvl w:ilvl="1" w:tentative="1">
      <w:start w:val="1"/>
      <w:numFmt w:val="bullet"/>
      <w:lvlText w:val="o"/>
      <w:lvlJc w:val="left"/>
      <w:pPr>
        <w:ind w:left="1440" w:hanging="360"/>
      </w:pPr>
      <w:rPr>
        <w:rFonts w:ascii="Courier New" w:hAnsi="Courier New" w:cs="Courier New" w:hint="default"/>
      </w:rPr>
    </w:lvl>
    <w:lvl w:ilvl="2" w:tentative="1">
      <w:start w:val="1"/>
      <w:numFmt w:val="bullet"/>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abstractNum w:abstractNumId="12">
    <w:nsid w:val="4F5A7A63"/>
    <w:multiLevelType w:val="multilevel"/>
    <w:tmpl w:val="0426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3">
    <w:nsid w:val="55416081"/>
    <w:multiLevelType w:val="hybridMultilevel"/>
    <w:tmpl w:val="1B08697A"/>
    <w:lvl w:ilvl="0">
      <w:start w:val="1"/>
      <w:numFmt w:val="bullet"/>
      <w:lvlText w:val=""/>
      <w:lvlJc w:val="left"/>
      <w:pPr>
        <w:ind w:left="720" w:hanging="360"/>
      </w:pPr>
      <w:rPr>
        <w:rFonts w:ascii="Symbol" w:hAnsi="Symbol" w:hint="default"/>
      </w:rPr>
    </w:lvl>
    <w:lvl w:ilvl="1" w:tentative="1">
      <w:start w:val="1"/>
      <w:numFmt w:val="bullet"/>
      <w:lvlText w:val="o"/>
      <w:lvlJc w:val="left"/>
      <w:pPr>
        <w:ind w:left="1440" w:hanging="360"/>
      </w:pPr>
      <w:rPr>
        <w:rFonts w:ascii="Courier New" w:hAnsi="Courier New" w:cs="Courier New" w:hint="default"/>
      </w:rPr>
    </w:lvl>
    <w:lvl w:ilvl="2" w:tentative="1">
      <w:start w:val="1"/>
      <w:numFmt w:val="bullet"/>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abstractNum w:abstractNumId="14">
    <w:nsid w:val="57A63836"/>
    <w:multiLevelType w:val="multilevel"/>
    <w:tmpl w:val="55481E5C"/>
    <w:lvl w:ilvl="0">
      <w:start w:val="1"/>
      <w:numFmt w:val="decimal"/>
      <w:lvlText w:val="%1."/>
      <w:lvlJc w:val="left"/>
      <w:pPr>
        <w:ind w:left="360" w:hanging="360"/>
      </w:pPr>
      <w:rPr>
        <w:rFonts w:hint="default"/>
        <w:b w:val="0"/>
        <w:color w:val="auto"/>
      </w:rPr>
    </w:lvl>
    <w:lvl w:ilvl="1">
      <w:start w:val="1"/>
      <w:numFmt w:val="decimal"/>
      <w:lvlText w:val="%1.%2."/>
      <w:lvlJc w:val="left"/>
      <w:pPr>
        <w:ind w:left="716" w:hanging="432"/>
      </w:pPr>
      <w:rPr>
        <w:rFonts w:hint="default"/>
      </w:rPr>
    </w:lvl>
    <w:lvl w:ilvl="2">
      <w:start w:val="1"/>
      <w:numFmt w:val="decimal"/>
      <w:lvlText w:val="%1.%2.%3."/>
      <w:lvlJc w:val="left"/>
      <w:pPr>
        <w:ind w:left="1355" w:hanging="504"/>
      </w:pPr>
      <w:rPr>
        <w:rFonts w:hint="default"/>
        <w:color w:val="auto"/>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5">
    <w:nsid w:val="71855C26"/>
    <w:multiLevelType w:val="hybridMultilevel"/>
    <w:tmpl w:val="B1489092"/>
    <w:lvl w:ilvl="0">
      <w:start w:val="1"/>
      <w:numFmt w:val="decimal"/>
      <w:lvlText w:val="6.%1."/>
      <w:lvlJc w:val="left"/>
      <w:pPr>
        <w:ind w:left="2160" w:hanging="360"/>
      </w:pPr>
      <w:rPr>
        <w:rFonts w:hint="default"/>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16">
    <w:nsid w:val="794B073E"/>
    <w:multiLevelType w:val="multilevel"/>
    <w:tmpl w:val="CCC08D7A"/>
    <w:lvl w:ilvl="0">
      <w:start w:val="1"/>
      <w:numFmt w:val="decimal"/>
      <w:lvlText w:val="%1."/>
      <w:lvlJc w:val="left"/>
      <w:pPr>
        <w:ind w:left="360" w:hanging="360"/>
      </w:pPr>
      <w:rPr>
        <w:b w:val="0"/>
        <w:color w:val="auto"/>
      </w:rPr>
    </w:lvl>
    <w:lvl w:ilvl="1">
      <w:start w:val="1"/>
      <w:numFmt w:val="decimal"/>
      <w:lvlText w:val="%1.%2."/>
      <w:lvlJc w:val="left"/>
      <w:pPr>
        <w:ind w:left="792" w:hanging="432"/>
      </w:pPr>
      <w:rPr>
        <w:b w:val="0"/>
      </w:rPr>
    </w:lvl>
    <w:lvl w:ilvl="2">
      <w:start w:val="1"/>
      <w:numFmt w:val="decimal"/>
      <w:lvlText w:val="%1.%2.%3."/>
      <w:lvlJc w:val="left"/>
      <w:pPr>
        <w:ind w:left="1224" w:hanging="504"/>
      </w:pPr>
      <w:rPr>
        <w:b w:val="0"/>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7">
    <w:nsid w:val="7B042A2F"/>
    <w:multiLevelType w:val="multilevel"/>
    <w:tmpl w:val="499420C0"/>
    <w:lvl w:ilvl="0">
      <w:start w:val="1"/>
      <w:numFmt w:val="decimal"/>
      <w:lvlText w:val="%1."/>
      <w:lvlJc w:val="left"/>
      <w:pPr>
        <w:ind w:left="786" w:hanging="360"/>
      </w:pPr>
    </w:lvl>
    <w:lvl w:ilvl="1">
      <w:start w:val="1"/>
      <w:numFmt w:val="decimal"/>
      <w:isLgl/>
      <w:lvlText w:val="%1.%2."/>
      <w:lvlJc w:val="left"/>
      <w:pPr>
        <w:ind w:left="1512" w:hanging="585"/>
      </w:pPr>
      <w:rPr>
        <w:rFonts w:hint="default"/>
      </w:rPr>
    </w:lvl>
    <w:lvl w:ilvl="2">
      <w:start w:val="1"/>
      <w:numFmt w:val="decimal"/>
      <w:isLgl/>
      <w:lvlText w:val="%1.%2.%3."/>
      <w:lvlJc w:val="left"/>
      <w:pPr>
        <w:ind w:left="1647" w:hanging="720"/>
      </w:pPr>
      <w:rPr>
        <w:rFonts w:hint="default"/>
      </w:rPr>
    </w:lvl>
    <w:lvl w:ilvl="3">
      <w:start w:val="1"/>
      <w:numFmt w:val="decimal"/>
      <w:isLgl/>
      <w:lvlText w:val="%1.%2.%3.%4."/>
      <w:lvlJc w:val="left"/>
      <w:pPr>
        <w:ind w:left="1647" w:hanging="720"/>
      </w:pPr>
      <w:rPr>
        <w:rFonts w:hint="default"/>
      </w:rPr>
    </w:lvl>
    <w:lvl w:ilvl="4">
      <w:start w:val="1"/>
      <w:numFmt w:val="decimal"/>
      <w:isLgl/>
      <w:lvlText w:val="%1.%2.%3.%4.%5."/>
      <w:lvlJc w:val="left"/>
      <w:pPr>
        <w:ind w:left="2007" w:hanging="1080"/>
      </w:pPr>
      <w:rPr>
        <w:rFonts w:hint="default"/>
      </w:rPr>
    </w:lvl>
    <w:lvl w:ilvl="5">
      <w:start w:val="1"/>
      <w:numFmt w:val="decimal"/>
      <w:isLgl/>
      <w:lvlText w:val="%1.%2.%3.%4.%5.%6."/>
      <w:lvlJc w:val="left"/>
      <w:pPr>
        <w:ind w:left="2007" w:hanging="1080"/>
      </w:pPr>
      <w:rPr>
        <w:rFonts w:hint="default"/>
      </w:rPr>
    </w:lvl>
    <w:lvl w:ilvl="6">
      <w:start w:val="1"/>
      <w:numFmt w:val="decimal"/>
      <w:isLgl/>
      <w:lvlText w:val="%1.%2.%3.%4.%5.%6.%7."/>
      <w:lvlJc w:val="left"/>
      <w:pPr>
        <w:ind w:left="2367" w:hanging="1440"/>
      </w:pPr>
      <w:rPr>
        <w:rFonts w:hint="default"/>
      </w:rPr>
    </w:lvl>
    <w:lvl w:ilvl="7">
      <w:start w:val="1"/>
      <w:numFmt w:val="decimal"/>
      <w:isLgl/>
      <w:lvlText w:val="%1.%2.%3.%4.%5.%6.%7.%8."/>
      <w:lvlJc w:val="left"/>
      <w:pPr>
        <w:ind w:left="2367" w:hanging="1440"/>
      </w:pPr>
      <w:rPr>
        <w:rFonts w:hint="default"/>
      </w:rPr>
    </w:lvl>
    <w:lvl w:ilvl="8">
      <w:start w:val="1"/>
      <w:numFmt w:val="decimal"/>
      <w:isLgl/>
      <w:lvlText w:val="%1.%2.%3.%4.%5.%6.%7.%8.%9."/>
      <w:lvlJc w:val="left"/>
      <w:pPr>
        <w:ind w:left="2727" w:hanging="1800"/>
      </w:pPr>
      <w:rPr>
        <w:rFonts w:hint="default"/>
      </w:rPr>
    </w:lvl>
  </w:abstractNum>
  <w:num w:numId="1" w16cid:durableId="1566839964">
    <w:abstractNumId w:val="4"/>
  </w:num>
  <w:num w:numId="2" w16cid:durableId="1576822227">
    <w:abstractNumId w:val="15"/>
  </w:num>
  <w:num w:numId="3" w16cid:durableId="991830085">
    <w:abstractNumId w:val="10"/>
  </w:num>
  <w:num w:numId="4" w16cid:durableId="1076895897">
    <w:abstractNumId w:val="7"/>
  </w:num>
  <w:num w:numId="5" w16cid:durableId="1974631363">
    <w:abstractNumId w:val="16"/>
  </w:num>
  <w:num w:numId="6" w16cid:durableId="1913855374">
    <w:abstractNumId w:val="0"/>
  </w:num>
  <w:num w:numId="7" w16cid:durableId="2016610992">
    <w:abstractNumId w:val="12"/>
  </w:num>
  <w:num w:numId="8" w16cid:durableId="690185303">
    <w:abstractNumId w:val="17"/>
  </w:num>
  <w:num w:numId="9" w16cid:durableId="771517054">
    <w:abstractNumId w:val="1"/>
  </w:num>
  <w:num w:numId="10" w16cid:durableId="768038146">
    <w:abstractNumId w:val="13"/>
  </w:num>
  <w:num w:numId="11" w16cid:durableId="31999773">
    <w:abstractNumId w:val="8"/>
  </w:num>
  <w:num w:numId="12" w16cid:durableId="1819836356">
    <w:abstractNumId w:val="3"/>
  </w:num>
  <w:num w:numId="13" w16cid:durableId="2104373813">
    <w:abstractNumId w:val="6"/>
  </w:num>
  <w:num w:numId="14" w16cid:durableId="1224174723">
    <w:abstractNumId w:val="9"/>
  </w:num>
  <w:num w:numId="15" w16cid:durableId="91123556">
    <w:abstractNumId w:val="11"/>
  </w:num>
  <w:num w:numId="16" w16cid:durableId="574358504">
    <w:abstractNumId w:val="2"/>
  </w:num>
  <w:num w:numId="17" w16cid:durableId="2122528101">
    <w:abstractNumId w:val="5"/>
  </w:num>
  <w:num w:numId="18" w16cid:durableId="1591507283">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F4F19"/>
    <w:rsid w:val="00000F2A"/>
    <w:rsid w:val="00010709"/>
    <w:rsid w:val="000114A6"/>
    <w:rsid w:val="0002306D"/>
    <w:rsid w:val="00031815"/>
    <w:rsid w:val="000526EA"/>
    <w:rsid w:val="000565A9"/>
    <w:rsid w:val="0006037A"/>
    <w:rsid w:val="000735A4"/>
    <w:rsid w:val="00096453"/>
    <w:rsid w:val="000A058D"/>
    <w:rsid w:val="000A4A1A"/>
    <w:rsid w:val="000B6E47"/>
    <w:rsid w:val="000C3181"/>
    <w:rsid w:val="000C7375"/>
    <w:rsid w:val="000D20B2"/>
    <w:rsid w:val="000D74FA"/>
    <w:rsid w:val="000E6E55"/>
    <w:rsid w:val="000F7BC9"/>
    <w:rsid w:val="00123D5C"/>
    <w:rsid w:val="001330F1"/>
    <w:rsid w:val="00133CE1"/>
    <w:rsid w:val="00157278"/>
    <w:rsid w:val="001623CB"/>
    <w:rsid w:val="00173C4D"/>
    <w:rsid w:val="00194253"/>
    <w:rsid w:val="001A0B29"/>
    <w:rsid w:val="001B772F"/>
    <w:rsid w:val="001F7379"/>
    <w:rsid w:val="0020695E"/>
    <w:rsid w:val="002112D2"/>
    <w:rsid w:val="00213B1F"/>
    <w:rsid w:val="00246E7A"/>
    <w:rsid w:val="00254829"/>
    <w:rsid w:val="00254897"/>
    <w:rsid w:val="002556A5"/>
    <w:rsid w:val="00274BA7"/>
    <w:rsid w:val="00286493"/>
    <w:rsid w:val="002B3FEA"/>
    <w:rsid w:val="002B6932"/>
    <w:rsid w:val="002D696A"/>
    <w:rsid w:val="002E4868"/>
    <w:rsid w:val="002E694E"/>
    <w:rsid w:val="002E7B12"/>
    <w:rsid w:val="002F56D9"/>
    <w:rsid w:val="00310FC5"/>
    <w:rsid w:val="00330DE1"/>
    <w:rsid w:val="00340053"/>
    <w:rsid w:val="0034261A"/>
    <w:rsid w:val="00343F8C"/>
    <w:rsid w:val="003751F1"/>
    <w:rsid w:val="00377C2C"/>
    <w:rsid w:val="003836F7"/>
    <w:rsid w:val="00391678"/>
    <w:rsid w:val="003A1225"/>
    <w:rsid w:val="003A2E26"/>
    <w:rsid w:val="003C6568"/>
    <w:rsid w:val="003D6012"/>
    <w:rsid w:val="003E0A54"/>
    <w:rsid w:val="003E3FBA"/>
    <w:rsid w:val="003F03F1"/>
    <w:rsid w:val="003F7FCB"/>
    <w:rsid w:val="0041286D"/>
    <w:rsid w:val="00431B7E"/>
    <w:rsid w:val="00441C04"/>
    <w:rsid w:val="00446A03"/>
    <w:rsid w:val="00447097"/>
    <w:rsid w:val="00455519"/>
    <w:rsid w:val="00463A98"/>
    <w:rsid w:val="00464415"/>
    <w:rsid w:val="00477534"/>
    <w:rsid w:val="004B5A0D"/>
    <w:rsid w:val="004C3D33"/>
    <w:rsid w:val="004D5A12"/>
    <w:rsid w:val="004D6324"/>
    <w:rsid w:val="004D7B8D"/>
    <w:rsid w:val="004E2172"/>
    <w:rsid w:val="004E3525"/>
    <w:rsid w:val="004E5120"/>
    <w:rsid w:val="0050526B"/>
    <w:rsid w:val="005301E9"/>
    <w:rsid w:val="00552DDA"/>
    <w:rsid w:val="00553B81"/>
    <w:rsid w:val="00554FAE"/>
    <w:rsid w:val="005846DA"/>
    <w:rsid w:val="005C361A"/>
    <w:rsid w:val="005D08CC"/>
    <w:rsid w:val="005D36FD"/>
    <w:rsid w:val="00603553"/>
    <w:rsid w:val="00616DE7"/>
    <w:rsid w:val="0063193C"/>
    <w:rsid w:val="00635455"/>
    <w:rsid w:val="00636B5C"/>
    <w:rsid w:val="00645B16"/>
    <w:rsid w:val="006808AB"/>
    <w:rsid w:val="00686728"/>
    <w:rsid w:val="006B7D7B"/>
    <w:rsid w:val="006C321E"/>
    <w:rsid w:val="006D4047"/>
    <w:rsid w:val="006F1A43"/>
    <w:rsid w:val="006F20E0"/>
    <w:rsid w:val="0073133C"/>
    <w:rsid w:val="0075725D"/>
    <w:rsid w:val="00770935"/>
    <w:rsid w:val="00771547"/>
    <w:rsid w:val="00777EC7"/>
    <w:rsid w:val="007841E8"/>
    <w:rsid w:val="007909AD"/>
    <w:rsid w:val="007A4354"/>
    <w:rsid w:val="007B2BD5"/>
    <w:rsid w:val="007B715A"/>
    <w:rsid w:val="007E17F2"/>
    <w:rsid w:val="007E3110"/>
    <w:rsid w:val="007F24CB"/>
    <w:rsid w:val="007F77D9"/>
    <w:rsid w:val="00834C65"/>
    <w:rsid w:val="00871B13"/>
    <w:rsid w:val="008807D2"/>
    <w:rsid w:val="008863AB"/>
    <w:rsid w:val="008B77E9"/>
    <w:rsid w:val="008F4F19"/>
    <w:rsid w:val="0090381D"/>
    <w:rsid w:val="009108E1"/>
    <w:rsid w:val="00917703"/>
    <w:rsid w:val="009471E0"/>
    <w:rsid w:val="0096158F"/>
    <w:rsid w:val="00965134"/>
    <w:rsid w:val="00981ABB"/>
    <w:rsid w:val="00992384"/>
    <w:rsid w:val="009937BB"/>
    <w:rsid w:val="009A3215"/>
    <w:rsid w:val="009B7575"/>
    <w:rsid w:val="009C1658"/>
    <w:rsid w:val="009E5EFF"/>
    <w:rsid w:val="009F6A4C"/>
    <w:rsid w:val="00A11AC8"/>
    <w:rsid w:val="00A3277D"/>
    <w:rsid w:val="00A42BD4"/>
    <w:rsid w:val="00A64040"/>
    <w:rsid w:val="00A83E02"/>
    <w:rsid w:val="00A85950"/>
    <w:rsid w:val="00A85F16"/>
    <w:rsid w:val="00A93564"/>
    <w:rsid w:val="00AD3246"/>
    <w:rsid w:val="00AE0F14"/>
    <w:rsid w:val="00AE48D8"/>
    <w:rsid w:val="00AF10B3"/>
    <w:rsid w:val="00B07851"/>
    <w:rsid w:val="00B175B1"/>
    <w:rsid w:val="00B37F5B"/>
    <w:rsid w:val="00B570BA"/>
    <w:rsid w:val="00B6686A"/>
    <w:rsid w:val="00B77AA7"/>
    <w:rsid w:val="00B820C2"/>
    <w:rsid w:val="00B903C9"/>
    <w:rsid w:val="00B9130D"/>
    <w:rsid w:val="00BC5C66"/>
    <w:rsid w:val="00BD13C4"/>
    <w:rsid w:val="00BD19BA"/>
    <w:rsid w:val="00BE2246"/>
    <w:rsid w:val="00BF729E"/>
    <w:rsid w:val="00C1151F"/>
    <w:rsid w:val="00C11D15"/>
    <w:rsid w:val="00C214FE"/>
    <w:rsid w:val="00C21610"/>
    <w:rsid w:val="00C35B78"/>
    <w:rsid w:val="00C470D0"/>
    <w:rsid w:val="00C55B55"/>
    <w:rsid w:val="00C76331"/>
    <w:rsid w:val="00C76645"/>
    <w:rsid w:val="00C76C07"/>
    <w:rsid w:val="00C93467"/>
    <w:rsid w:val="00C97230"/>
    <w:rsid w:val="00CA0C74"/>
    <w:rsid w:val="00CA2821"/>
    <w:rsid w:val="00CB58EA"/>
    <w:rsid w:val="00CC0A3D"/>
    <w:rsid w:val="00D0722D"/>
    <w:rsid w:val="00D25B9E"/>
    <w:rsid w:val="00D322D1"/>
    <w:rsid w:val="00D66702"/>
    <w:rsid w:val="00D66850"/>
    <w:rsid w:val="00D66A47"/>
    <w:rsid w:val="00DB096F"/>
    <w:rsid w:val="00DC71E4"/>
    <w:rsid w:val="00DE0757"/>
    <w:rsid w:val="00DE69BF"/>
    <w:rsid w:val="00DE7AFC"/>
    <w:rsid w:val="00E020E3"/>
    <w:rsid w:val="00E25581"/>
    <w:rsid w:val="00E505A2"/>
    <w:rsid w:val="00E547DD"/>
    <w:rsid w:val="00E60F2A"/>
    <w:rsid w:val="00E6424E"/>
    <w:rsid w:val="00E71F37"/>
    <w:rsid w:val="00E72AE9"/>
    <w:rsid w:val="00E8481D"/>
    <w:rsid w:val="00E91601"/>
    <w:rsid w:val="00E92F62"/>
    <w:rsid w:val="00E9408B"/>
    <w:rsid w:val="00EA3A2E"/>
    <w:rsid w:val="00EC25A3"/>
    <w:rsid w:val="00ED5028"/>
    <w:rsid w:val="00F112B3"/>
    <w:rsid w:val="00F42914"/>
    <w:rsid w:val="00F53313"/>
    <w:rsid w:val="00F9486B"/>
    <w:rsid w:val="00FB0437"/>
    <w:rsid w:val="00FB47A2"/>
    <w:rsid w:val="00FC6709"/>
    <w:rsid w:val="00FF5328"/>
  </w:rsids>
  <m:mathPr>
    <m:mathFont m:val="Cambria Math"/>
  </m:mathPr>
  <w:themeFontLang w:val="en-US"/>
  <w:clrSchemeMapping w:bg1="light1" w:t1="dark1" w:bg2="light2" w:t2="dark2" w:accent1="accent1" w:accent2="accent2" w:accent3="accent3" w:accent4="accent4" w:accent5="accent5" w:accent6="accent6" w:hyperlink="hyperlink" w:followedHyperlink="followedHyperlink"/>
  <w14:docId w14:val="5459560D"/>
  <w15:chartTrackingRefBased/>
  <w15:docId w15:val="{605E8949-5598-4822-9CA5-C2C3B483C6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Smart Link" w:semiHidden="1" w:unhideWhenUsed="1"/>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8F4F19"/>
    <w:pPr>
      <w:spacing w:after="0" w:line="240" w:lineRule="auto"/>
    </w:pPr>
    <w:rPr>
      <w:rFonts w:ascii="Times New Roman" w:eastAsia="Times New Roman" w:hAnsi="Times New Roman" w:cs="Times New Roman"/>
      <w:sz w:val="24"/>
      <w:szCs w:val="24"/>
      <w:lang w:val="lv-LV" w:eastAsia="lv-LV"/>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aisf">
    <w:name w:val="naisf"/>
    <w:basedOn w:val="Normal"/>
    <w:rsid w:val="008F4F19"/>
    <w:pPr>
      <w:spacing w:before="64" w:after="64"/>
      <w:ind w:firstLine="319"/>
      <w:jc w:val="both"/>
    </w:pPr>
    <w:rPr>
      <w:lang w:val="en-US" w:eastAsia="en-US"/>
    </w:rPr>
  </w:style>
  <w:style w:type="paragraph" w:customStyle="1" w:styleId="naisnod">
    <w:name w:val="naisnod"/>
    <w:basedOn w:val="Normal"/>
    <w:rsid w:val="008F4F19"/>
    <w:pPr>
      <w:spacing w:before="150" w:after="150"/>
      <w:jc w:val="center"/>
    </w:pPr>
    <w:rPr>
      <w:b/>
      <w:bCs/>
    </w:rPr>
  </w:style>
  <w:style w:type="paragraph" w:customStyle="1" w:styleId="naiskr">
    <w:name w:val="naiskr"/>
    <w:basedOn w:val="Normal"/>
    <w:rsid w:val="008F4F19"/>
    <w:pPr>
      <w:spacing w:before="75" w:after="75"/>
    </w:pPr>
  </w:style>
  <w:style w:type="paragraph" w:styleId="Header">
    <w:name w:val="header"/>
    <w:basedOn w:val="Normal"/>
    <w:link w:val="GalveneRakstz"/>
    <w:uiPriority w:val="99"/>
    <w:unhideWhenUsed/>
    <w:rsid w:val="008B77E9"/>
    <w:pPr>
      <w:tabs>
        <w:tab w:val="center" w:pos="4153"/>
        <w:tab w:val="right" w:pos="8306"/>
      </w:tabs>
    </w:pPr>
  </w:style>
  <w:style w:type="character" w:customStyle="1" w:styleId="GalveneRakstz">
    <w:name w:val="Galvene Rakstz."/>
    <w:basedOn w:val="DefaultParagraphFont"/>
    <w:link w:val="Header"/>
    <w:uiPriority w:val="99"/>
    <w:rsid w:val="008B77E9"/>
    <w:rPr>
      <w:rFonts w:ascii="Times New Roman" w:eastAsia="Times New Roman" w:hAnsi="Times New Roman" w:cs="Times New Roman"/>
      <w:sz w:val="24"/>
      <w:szCs w:val="24"/>
      <w:lang w:val="lv-LV" w:eastAsia="lv-LV"/>
    </w:rPr>
  </w:style>
  <w:style w:type="paragraph" w:styleId="Footer">
    <w:name w:val="footer"/>
    <w:basedOn w:val="Normal"/>
    <w:link w:val="KjeneRakstz"/>
    <w:uiPriority w:val="99"/>
    <w:unhideWhenUsed/>
    <w:rsid w:val="008B77E9"/>
    <w:pPr>
      <w:tabs>
        <w:tab w:val="center" w:pos="4153"/>
        <w:tab w:val="right" w:pos="8306"/>
      </w:tabs>
    </w:pPr>
  </w:style>
  <w:style w:type="character" w:customStyle="1" w:styleId="KjeneRakstz">
    <w:name w:val="Kājene Rakstz."/>
    <w:basedOn w:val="DefaultParagraphFont"/>
    <w:link w:val="Footer"/>
    <w:uiPriority w:val="99"/>
    <w:rsid w:val="008B77E9"/>
    <w:rPr>
      <w:rFonts w:ascii="Times New Roman" w:eastAsia="Times New Roman" w:hAnsi="Times New Roman" w:cs="Times New Roman"/>
      <w:sz w:val="24"/>
      <w:szCs w:val="24"/>
      <w:lang w:val="lv-LV" w:eastAsia="lv-LV"/>
    </w:rPr>
  </w:style>
  <w:style w:type="paragraph" w:styleId="FootnoteText">
    <w:name w:val="footnote text"/>
    <w:aliases w:val="Char,Footnote,Footnote Text Char Char Char Char,Footnote Text Char Char Char Char Char Char,Footnote Text Char1 Char Char Char Char,Footnote Text Char1 Char2 Char,Footnote Text Char2 Char,Fußnote,Rakstz.,f,ft,ft Rakstz. Rakstz,single space"/>
    <w:basedOn w:val="Normal"/>
    <w:link w:val="VrestekstsRakstz"/>
    <w:uiPriority w:val="99"/>
    <w:unhideWhenUsed/>
    <w:qFormat/>
    <w:rsid w:val="0090381D"/>
    <w:pPr>
      <w:widowControl w:val="0"/>
    </w:pPr>
    <w:rPr>
      <w:rFonts w:ascii="Calibri" w:eastAsia="Calibri" w:hAnsi="Calibri"/>
      <w:sz w:val="20"/>
      <w:szCs w:val="20"/>
      <w:lang w:val="en-US" w:eastAsia="en-US"/>
    </w:rPr>
  </w:style>
  <w:style w:type="character" w:customStyle="1" w:styleId="VrestekstsRakstz">
    <w:name w:val="Vēres teksts Rakstz."/>
    <w:aliases w:val="Char Rakstz.,Footnote Rakstz.,Footnote Text Char Char Char Char Rakstz.,Footnote Text Char Char Char Char Char Char Rakstz.,Footnote Text Char1 Char Char Char Char Rakstz.,Footnote Text Char1 Char2 Char Rakstz.,Fußnote Rakstz."/>
    <w:basedOn w:val="DefaultParagraphFont"/>
    <w:link w:val="FootnoteText"/>
    <w:uiPriority w:val="99"/>
    <w:rsid w:val="0090381D"/>
    <w:rPr>
      <w:rFonts w:ascii="Calibri" w:eastAsia="Calibri" w:hAnsi="Calibri" w:cs="Times New Roman"/>
      <w:sz w:val="20"/>
      <w:szCs w:val="20"/>
    </w:rPr>
  </w:style>
  <w:style w:type="table" w:styleId="TableGrid">
    <w:name w:val="Table Grid"/>
    <w:basedOn w:val="TableNormal"/>
    <w:uiPriority w:val="39"/>
    <w:rsid w:val="00AD324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9F6A4C"/>
    <w:rPr>
      <w:color w:val="0563C1" w:themeColor="hyperlink"/>
      <w:u w:val="single"/>
    </w:rPr>
  </w:style>
  <w:style w:type="paragraph" w:styleId="ListParagraph">
    <w:name w:val="List Paragraph"/>
    <w:basedOn w:val="Normal"/>
    <w:uiPriority w:val="34"/>
    <w:qFormat/>
    <w:rsid w:val="00C76331"/>
    <w:pPr>
      <w:spacing w:after="160" w:line="259" w:lineRule="auto"/>
      <w:ind w:left="720"/>
      <w:contextualSpacing/>
    </w:pPr>
    <w:rPr>
      <w:rFonts w:asciiTheme="minorHAnsi" w:eastAsiaTheme="minorHAnsi" w:hAnsiTheme="minorHAnsi" w:cstheme="minorBidi"/>
      <w:sz w:val="22"/>
      <w:szCs w:val="22"/>
      <w:lang w:eastAsia="en-US"/>
    </w:rPr>
  </w:style>
  <w:style w:type="paragraph" w:styleId="Title">
    <w:name w:val="Title"/>
    <w:basedOn w:val="Normal"/>
    <w:next w:val="Normal"/>
    <w:link w:val="NosaukumsRakstz"/>
    <w:uiPriority w:val="10"/>
    <w:qFormat/>
    <w:rsid w:val="001B772F"/>
    <w:pPr>
      <w:contextualSpacing/>
    </w:pPr>
    <w:rPr>
      <w:rFonts w:asciiTheme="majorHAnsi" w:eastAsiaTheme="majorEastAsia" w:hAnsiTheme="majorHAnsi" w:cstheme="majorBidi"/>
      <w:spacing w:val="-10"/>
      <w:kern w:val="28"/>
      <w:sz w:val="56"/>
      <w:szCs w:val="56"/>
    </w:rPr>
  </w:style>
  <w:style w:type="character" w:customStyle="1" w:styleId="NosaukumsRakstz">
    <w:name w:val="Nosaukums Rakstz."/>
    <w:basedOn w:val="DefaultParagraphFont"/>
    <w:link w:val="Title"/>
    <w:uiPriority w:val="10"/>
    <w:rsid w:val="001B772F"/>
    <w:rPr>
      <w:rFonts w:asciiTheme="majorHAnsi" w:eastAsiaTheme="majorEastAsia" w:hAnsiTheme="majorHAnsi" w:cstheme="majorBidi"/>
      <w:spacing w:val="-10"/>
      <w:kern w:val="28"/>
      <w:sz w:val="56"/>
      <w:szCs w:val="56"/>
      <w:lang w:val="lv-LV" w:eastAsia="lv-LV"/>
    </w:rPr>
  </w:style>
  <w:style w:type="paragraph" w:customStyle="1" w:styleId="tv213">
    <w:name w:val="tv213"/>
    <w:basedOn w:val="Normal"/>
    <w:rsid w:val="00636B5C"/>
    <w:pPr>
      <w:spacing w:before="100" w:beforeAutospacing="1" w:after="100" w:afterAutospacing="1"/>
    </w:pPr>
  </w:style>
  <w:style w:type="paragraph" w:styleId="NormalWeb">
    <w:name w:val="Normal (Web)"/>
    <w:basedOn w:val="Normal"/>
    <w:uiPriority w:val="99"/>
    <w:unhideWhenUsed/>
    <w:rsid w:val="00636B5C"/>
    <w:pPr>
      <w:spacing w:before="100" w:beforeAutospacing="1" w:after="100" w:afterAutospacing="1"/>
    </w:pPr>
  </w:style>
  <w:style w:type="character" w:styleId="Strong">
    <w:name w:val="Strong"/>
    <w:uiPriority w:val="22"/>
    <w:qFormat/>
    <w:rsid w:val="00636B5C"/>
    <w:rPr>
      <w:b/>
      <w:bCs/>
    </w:rPr>
  </w:style>
  <w:style w:type="character" w:customStyle="1" w:styleId="dynatree-node">
    <w:name w:val="dynatree-node"/>
    <w:rsid w:val="00636B5C"/>
  </w:style>
  <w:style w:type="character" w:styleId="Emphasis">
    <w:name w:val="Emphasis"/>
    <w:uiPriority w:val="20"/>
    <w:qFormat/>
    <w:rsid w:val="00636B5C"/>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Relationships xmlns="http://schemas.openxmlformats.org/package/2006/relationships"><Relationship Id="rId1" Type="http://schemas.openxmlformats.org/officeDocument/2006/relationships/settings" Target="settings.xml" /><Relationship Id="rId10" Type="http://schemas.openxmlformats.org/officeDocument/2006/relationships/chart" Target="charts/chart1.xml" /><Relationship Id="rId11" Type="http://schemas.openxmlformats.org/officeDocument/2006/relationships/chart" Target="charts/chart2.xml" /><Relationship Id="rId12" Type="http://schemas.openxmlformats.org/officeDocument/2006/relationships/chart" Target="charts/chart3.xml" /><Relationship Id="rId13" Type="http://schemas.openxmlformats.org/officeDocument/2006/relationships/chart" Target="charts/chart4.xml" /><Relationship Id="rId14" Type="http://schemas.openxmlformats.org/officeDocument/2006/relationships/header" Target="header1.xml" /><Relationship Id="rId15" Type="http://schemas.openxmlformats.org/officeDocument/2006/relationships/header" Target="header2.xml" /><Relationship Id="rId16" Type="http://schemas.openxmlformats.org/officeDocument/2006/relationships/footer" Target="footer1.xml" /><Relationship Id="rId17" Type="http://schemas.openxmlformats.org/officeDocument/2006/relationships/footer" Target="footer2.xml" /><Relationship Id="rId18" Type="http://schemas.openxmlformats.org/officeDocument/2006/relationships/header" Target="header3.xml" /><Relationship Id="rId19" Type="http://schemas.openxmlformats.org/officeDocument/2006/relationships/footer" Target="footer3.xml" /><Relationship Id="rId2" Type="http://schemas.openxmlformats.org/officeDocument/2006/relationships/webSettings" Target="webSettings.xml" /><Relationship Id="rId20" Type="http://schemas.openxmlformats.org/officeDocument/2006/relationships/theme" Target="theme/theme1.xml" /><Relationship Id="rId21" Type="http://schemas.openxmlformats.org/officeDocument/2006/relationships/numbering" Target="numbering.xml" /><Relationship Id="rId22" Type="http://schemas.openxmlformats.org/officeDocument/2006/relationships/styles" Target="styles.xml" /><Relationship Id="rId3" Type="http://schemas.openxmlformats.org/officeDocument/2006/relationships/fontTable" Target="fontTable.xml" /><Relationship Id="rId4" Type="http://schemas.openxmlformats.org/officeDocument/2006/relationships/customXml" Target="../customXml/item1.xml" /><Relationship Id="rId5" Type="http://schemas.openxmlformats.org/officeDocument/2006/relationships/customXml" Target="../customXml/item2.xml" /><Relationship Id="rId6" Type="http://schemas.openxmlformats.org/officeDocument/2006/relationships/customXml" Target="../customXml/item3.xml" /><Relationship Id="rId7" Type="http://schemas.openxmlformats.org/officeDocument/2006/relationships/image" Target="media/image1.jpeg" /><Relationship Id="rId8" Type="http://schemas.openxmlformats.org/officeDocument/2006/relationships/hyperlink" Target="mailto:info@rezeknesnovads.lv" TargetMode="External" /><Relationship Id="rId9" Type="http://schemas.openxmlformats.org/officeDocument/2006/relationships/hyperlink" Target="http://www.rezeknesnovads.lv" TargetMode="External" /></Relationships>
</file>

<file path=word/charts/_rels/chart1.xml.rels><?xml version="1.0" encoding="utf-8" standalone="yes"?><Relationships xmlns="http://schemas.openxmlformats.org/package/2006/relationships"><Relationship Id="rId1" Type="http://schemas.openxmlformats.org/officeDocument/2006/relationships/oleObject" Target="file:///C:\Users\ASerzants\Desktop\Excel%202016.xlsx" TargetMode="External" /><Relationship Id="rId2" Type="http://schemas.microsoft.com/office/2011/relationships/chartColorStyle" Target="chart/colors1.xml" /><Relationship Id="rId3" Type="http://schemas.microsoft.com/office/2011/relationships/chartStyle" Target="chart/style1.xml" /></Relationships>
</file>

<file path=word/charts/_rels/chart2.xml.rels><?xml version="1.0" encoding="utf-8" standalone="yes"?><Relationships xmlns="http://schemas.openxmlformats.org/package/2006/relationships"><Relationship Id="rId1" Type="http://schemas.openxmlformats.org/officeDocument/2006/relationships/oleObject" Target="file:///C:\Users\ASerzants\Desktop\Excel%202016.xlsx" TargetMode="External" /><Relationship Id="rId2" Type="http://schemas.microsoft.com/office/2011/relationships/chartColorStyle" Target="chart/colors2.xml" /><Relationship Id="rId3" Type="http://schemas.microsoft.com/office/2011/relationships/chartStyle" Target="chart/style2.xml" /></Relationships>
</file>

<file path=word/charts/_rels/chart3.xml.rels><?xml version="1.0" encoding="utf-8" standalone="yes"?><Relationships xmlns="http://schemas.openxmlformats.org/package/2006/relationships"><Relationship Id="rId1" Type="http://schemas.openxmlformats.org/officeDocument/2006/relationships/package" Target="../embeddings/Microsoft_Excel_Worksheet1.xlsx" /><Relationship Id="rId2" Type="http://schemas.openxmlformats.org/officeDocument/2006/relationships/themeOverride" Target="../theme/themeOverride1.xml" /><Relationship Id="rId3" Type="http://schemas.microsoft.com/office/2011/relationships/chartColorStyle" Target="chart/colors3.xml" /><Relationship Id="rId4" Type="http://schemas.microsoft.com/office/2011/relationships/chartStyle" Target="chart/style3.xml" /></Relationships>
</file>

<file path=word/charts/_rels/chart4.xml.rels><?xml version="1.0" encoding="utf-8" standalone="yes"?><Relationships xmlns="http://schemas.openxmlformats.org/package/2006/relationships"><Relationship Id="rId1" Type="http://schemas.openxmlformats.org/officeDocument/2006/relationships/oleObject" Target="file:///C:\Users\ASerzants\Desktop\Excel%202016.xlsx" TargetMode="External" /><Relationship Id="rId2" Type="http://schemas.microsoft.com/office/2011/relationships/chartColorStyle" Target="chart/colors4.xml" /><Relationship Id="rId3" Type="http://schemas.microsoft.com/office/2011/relationships/chartStyle" Target="chart/style4.xml" /></Relationships>
</file>

<file path=word/charts/chart/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hart/colors2.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hart/colors3.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hart/colors4.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hart/style1.xml><?xml version="1.0" encoding="utf-8"?>
<cs:chartStyle xmlns:cs="http://schemas.microsoft.com/office/drawing/2012/chartStyle" xmlns:a="http://schemas.openxmlformats.org/drawingml/2006/main" id="259">
  <cs:axisTitle>
    <cs:lnRef idx="0"/>
    <cs:fillRef idx="0"/>
    <cs:effectRef idx="0"/>
    <cs:fontRef idx="minor">
      <a:schemeClr val="tx1">
        <a:lumMod val="65000"/>
        <a:lumOff val="35000"/>
      </a:schemeClr>
    </cs:fontRef>
    <cs:defRPr sz="900" kern="1200" cap="all"/>
  </cs:axisTitle>
  <cs:categoryAxis>
    <cs:lnRef idx="0"/>
    <cs:fillRef idx="0"/>
    <cs:effectRef idx="0"/>
    <cs:fontRef idx="minor">
      <a:schemeClr val="tx1">
        <a:lumMod val="65000"/>
        <a:lumOff val="35000"/>
      </a:schemeClr>
    </cs:fontRef>
    <cs:defRPr sz="900" kern="1200"/>
  </cs:categoryAxis>
  <cs:chartArea mods="allowNoFillOverride allowNoLineOverride">
    <cs:lnRef idx="0"/>
    <cs:fillRef idx="0"/>
    <cs:effectRef idx="0"/>
    <cs:fontRef idx="minor">
      <a:schemeClr val="tx1"/>
    </cs:fontRef>
    <cs:spPr>
      <a:solidFill>
        <a:schemeClr val="bg1"/>
      </a:solidFill>
      <a:ln w="9525">
        <a:solidFill>
          <a:schemeClr val="tx1">
            <a:lumMod val="15000"/>
            <a:lumOff val="85000"/>
          </a:schemeClr>
        </a:solidFill>
        <a:round/>
      </a:ln>
    </cs:spPr>
    <cs:defRPr sz="1000" kern="1200"/>
  </cs:chartArea>
  <cs:dataLabel>
    <cs:lnRef idx="0"/>
    <cs:fillRef idx="0"/>
    <cs:effectRef idx="0"/>
    <cs:fontRef idx="minor">
      <cs:styleClr val="auto"/>
    </cs:fontRef>
    <cs:defRPr sz="1000" b="1" i="0" u="none" strike="noStrike" kern="1200" spc="0" baseline="0"/>
  </cs:dataLabel>
  <cs:dataLabelCallout>
    <cs:lnRef idx="0">
      <cs:styleClr val="auto"/>
    </cs:lnRef>
    <cs:fillRef idx="0"/>
    <cs:effectRef idx="0"/>
    <cs:fontRef idx="minor">
      <cs:styleClr val="auto"/>
    </cs:fontRef>
    <cs:spPr>
      <a:solidFill>
        <a:schemeClr val="lt1"/>
      </a:solidFill>
      <a:ln>
        <a:solidFill>
          <a:schemeClr val="phClr"/>
        </a:solidFill>
      </a:ln>
    </cs:spPr>
    <cs:defRPr sz="1000" b="1" kern="1200"/>
    <cs:bodyPr rot="0" spcFirstLastPara="1" vertOverflow="clip" horzOverflow="clip" vert="horz" wrap="square" lIns="36576" tIns="18288" rIns="36576" bIns="18288" anchor="ctr" anchorCtr="1">
      <a:spAutoFit/>
    </cs:bodyPr>
  </cs:dataLabelCallout>
  <cs:dataPoint>
    <cs:lnRef idx="0"/>
    <cs:fillRef idx="0">
      <cs:styleClr val="auto"/>
    </cs:fillRef>
    <cs:effectRef idx="0"/>
    <cs:fontRef idx="minor">
      <a:schemeClr val="dk1"/>
    </cs:fontRef>
    <cs:spPr>
      <a:solidFill>
        <a:schemeClr val="phClr"/>
      </a:solidFill>
      <a:effectLst>
        <a:outerShdw blurRad="63500" dist="0" dir="0" sx="102000" sy="102000" kx="0" ky="0" algn="ctr" rotWithShape="0">
          <a:prstClr val="black">
            <a:alpha val="20000"/>
          </a:prstClr>
        </a:outerShdw>
      </a:effectLst>
    </cs:spPr>
  </cs:dataPoint>
  <cs:dataPoint3D>
    <cs:lnRef idx="0"/>
    <cs:fillRef idx="0">
      <cs:styleClr val="auto"/>
    </cs:fillRef>
    <cs:effectRef idx="0"/>
    <cs:fontRef idx="minor">
      <a:schemeClr val="dk1"/>
    </cs:fontRef>
    <cs:spPr>
      <a:solidFill>
        <a:schemeClr val="phClr"/>
      </a:solidFill>
      <a:effectLst>
        <a:outerShdw blurRad="88900" dist="0" dir="0" sx="102000" sy="102000" kx="0" ky="0" algn="ctr" rotWithShape="0">
          <a:prstClr val="black">
            <a:alpha val="10000"/>
          </a:prstClr>
        </a:outerShdw>
      </a:effectLst>
      <a:scene3d>
        <a:camera prst="orthographicFront"/>
        <a:lightRig rig="threePt" dir="t"/>
      </a:scene3d>
      <a:sp3d>
        <a:bevelT w="127000" h="127000" prst="circle"/>
        <a:bevelB w="127000" h="127000" prst="circle"/>
      </a:sp3d>
    </cs:spPr>
  </cs:dataPoint3D>
  <cs:dataPointLine>
    <cs:lnRef idx="0">
      <cs:styleClr val="auto"/>
    </cs:lnRef>
    <cs:fillRef idx="0"/>
    <cs:effectRef idx="0"/>
    <cs:fontRef idx="minor">
      <a:schemeClr val="dk1"/>
    </cs:fontRef>
    <cs:spPr>
      <a:ln w="28575" cap="rnd">
        <a:solidFill>
          <a:schemeClr val="phClr"/>
        </a:solidFill>
        <a:round/>
      </a:ln>
    </cs:spPr>
  </cs:dataPointLine>
  <cs:dataPointMarker>
    <cs:lnRef idx="0"/>
    <cs:fillRef idx="0">
      <cs:styleClr val="auto"/>
    </cs:fillRef>
    <cs:effectRef idx="0"/>
    <cs:fontRef idx="minor">
      <a:schemeClr val="dk1"/>
    </cs:fontRef>
    <cs:spPr>
      <a:solidFill>
        <a:schemeClr val="phClr"/>
      </a:solidFill>
      <a:ln w="9525">
        <a:solidFill>
          <a:schemeClr val="lt1"/>
        </a:solidFill>
      </a:ln>
    </cs:spPr>
  </cs:dataPointMarker>
  <cs:dataPointMarkerLayout symbol="circle" size="6"/>
  <cs:dataPointWireframe>
    <cs:lnRef idx="0">
      <cs:styleClr val="auto"/>
    </cs:lnRef>
    <cs:fillRef idx="0"/>
    <cs:effectRef idx="0"/>
    <cs:fontRef idx="minor">
      <a:schemeClr val="dk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a:solidFill>
          <a:schemeClr val="tx1">
            <a:lumMod val="65000"/>
            <a:lumOff val="35000"/>
          </a:schemeClr>
        </a:solidFill>
        <a:round/>
      </a:ln>
    </cs:spPr>
  </cs:downBar>
  <cs:dropLine>
    <cs:lnRef idx="0"/>
    <cs:fillRef idx="0"/>
    <cs:effectRef idx="0"/>
    <cs:fontRef idx="minor">
      <a:schemeClr val="tx1"/>
    </cs:fontRef>
    <cs:spPr>
      <a:ln w="9525">
        <a:solidFill>
          <a:schemeClr val="tx1">
            <a:lumMod val="35000"/>
            <a:lumOff val="65000"/>
          </a:schemeClr>
        </a:solidFill>
        <a:round/>
      </a:ln>
    </cs:spPr>
  </cs:dropLine>
  <cs:errorBar>
    <cs:lnRef idx="0"/>
    <cs:fillRef idx="0"/>
    <cs:effectRef idx="0"/>
    <cs:fontRef idx="minor">
      <a:schemeClr val="tx1"/>
    </cs:fontRef>
    <cs:spPr>
      <a:ln w="9525">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a:solidFill>
          <a:schemeClr val="tx1">
            <a:lumMod val="15000"/>
            <a:lumOff val="85000"/>
          </a:schemeClr>
        </a:solidFill>
        <a:round/>
      </a:ln>
    </cs:spPr>
  </cs:gridlineMajor>
  <cs:gridlineMinor>
    <cs:lnRef idx="0"/>
    <cs:fillRef idx="0"/>
    <cs:effectRef idx="0"/>
    <cs:fontRef idx="minor">
      <a:schemeClr val="tx1"/>
    </cs:fontRef>
    <cs:spPr>
      <a:ln w="9525">
        <a:solidFill>
          <a:schemeClr val="tx1">
            <a:lumMod val="5000"/>
            <a:lumOff val="95000"/>
          </a:schemeClr>
        </a:solidFill>
        <a:round/>
      </a:ln>
    </cs:spPr>
  </cs:gridlineMinor>
  <cs:hiLoLine>
    <cs:lnRef idx="0"/>
    <cs:fillRef idx="0"/>
    <cs:effectRef idx="0"/>
    <cs:fontRef idx="minor">
      <a:schemeClr val="tx1"/>
    </cs:fontRef>
    <cs:spPr>
      <a:ln w="9525">
        <a:solidFill>
          <a:schemeClr val="tx1">
            <a:lumMod val="50000"/>
            <a:lumOff val="50000"/>
          </a:schemeClr>
        </a:solidFill>
        <a:round/>
      </a:ln>
    </cs:spPr>
  </cs:hiLoLine>
  <cs:leaderLine>
    <cs:lnRef idx="0"/>
    <cs:fillRef idx="0"/>
    <cs:effectRef idx="0"/>
    <cs:fontRef idx="minor">
      <a:schemeClr val="tx1"/>
    </cs:fontRef>
    <cs:spPr>
      <a:ln w="9525">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dk1"/>
    </cs:fontRef>
  </cs:plotArea>
  <cs:plotArea3D mods="allowNoFillOverride allowNoLineOverride">
    <cs:lnRef idx="0"/>
    <cs:fillRef idx="0"/>
    <cs:effectRef idx="0"/>
    <cs:fontRef idx="minor">
      <a:schemeClr val="dk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a:solidFill>
          <a:schemeClr val="tx1">
            <a:lumMod val="35000"/>
            <a:lumOff val="65000"/>
          </a:schemeClr>
        </a:solidFill>
        <a:round/>
      </a:ln>
    </cs:spPr>
  </cs:seriesLine>
  <cs:title>
    <cs:lnRef idx="0"/>
    <cs:fillRef idx="0"/>
    <cs:effectRef idx="0"/>
    <cs:fontRef idx="minor">
      <a:schemeClr val="tx1">
        <a:lumMod val="65000"/>
        <a:lumOff val="35000"/>
      </a:schemeClr>
    </cs:fontRef>
    <cs:defRPr sz="1600" b="1" kern="1200" cap="all" baseline="0"/>
  </cs:title>
  <cs:trendline>
    <cs:lnRef idx="0">
      <cs:styleClr val="auto"/>
    </cs:lnRef>
    <cs:fillRef idx="0"/>
    <cs:effectRef idx="0"/>
    <cs:fontRef idx="minor">
      <a:schemeClr val="tx1"/>
    </cs:fontRef>
    <cs:spPr>
      <a:ln w="19050" cap="rnd">
        <a:solidFill>
          <a:schemeClr val="phClr"/>
        </a:solidFill>
        <a:prstDash val="sysDash"/>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chart/style2.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a:solidFill>
          <a:schemeClr val="tx1">
            <a:lumMod val="35000"/>
            <a:lumOff val="65000"/>
          </a:schemeClr>
        </a:solidFill>
        <a:round/>
      </a:ln>
    </cs:spPr>
  </cs:dropLine>
  <cs:errorBar>
    <cs:lnRef idx="0"/>
    <cs:fillRef idx="0"/>
    <cs:effectRef idx="0"/>
    <cs:fontRef idx="minor">
      <a:schemeClr val="tx1"/>
    </cs:fontRef>
    <cs:spPr>
      <a:ln w="9525">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a:solidFill>
          <a:schemeClr val="tx1">
            <a:lumMod val="15000"/>
            <a:lumOff val="85000"/>
          </a:schemeClr>
        </a:solidFill>
        <a:round/>
      </a:ln>
    </cs:spPr>
  </cs:gridlineMajor>
  <cs:gridlineMinor>
    <cs:lnRef idx="0"/>
    <cs:fillRef idx="0"/>
    <cs:effectRef idx="0"/>
    <cs:fontRef idx="minor">
      <a:schemeClr val="tx1"/>
    </cs:fontRef>
    <cs:spPr>
      <a:ln w="9525">
        <a:solidFill>
          <a:schemeClr val="tx1">
            <a:lumMod val="5000"/>
            <a:lumOff val="95000"/>
          </a:schemeClr>
        </a:solidFill>
        <a:round/>
      </a:ln>
    </cs:spPr>
  </cs:gridlineMinor>
  <cs:hiLoLine>
    <cs:lnRef idx="0"/>
    <cs:fillRef idx="0"/>
    <cs:effectRef idx="0"/>
    <cs:fontRef idx="minor">
      <a:schemeClr val="tx1"/>
    </cs:fontRef>
    <cs:spPr>
      <a:ln w="9525">
        <a:solidFill>
          <a:schemeClr val="tx1">
            <a:lumMod val="75000"/>
            <a:lumOff val="25000"/>
          </a:schemeClr>
        </a:solidFill>
        <a:round/>
      </a:ln>
    </cs:spPr>
  </cs:hiLoLine>
  <cs:leaderLine>
    <cs:lnRef idx="0"/>
    <cs:fillRef idx="0"/>
    <cs:effectRef idx="0"/>
    <cs:fontRef idx="minor">
      <a:schemeClr val="tx1"/>
    </cs:fontRef>
    <cs:spPr>
      <a:ln w="9525">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chart/style3.xml><?xml version="1.0" encoding="utf-8"?>
<cs:chartStyle xmlns:cs="http://schemas.microsoft.com/office/drawing/2012/chartStyle" xmlns:a="http://schemas.openxmlformats.org/drawingml/2006/main" id="259">
  <cs:axisTitle>
    <cs:lnRef idx="0"/>
    <cs:fillRef idx="0"/>
    <cs:effectRef idx="0"/>
    <cs:fontRef idx="minor">
      <a:schemeClr val="tx1">
        <a:lumMod val="65000"/>
        <a:lumOff val="35000"/>
      </a:schemeClr>
    </cs:fontRef>
    <cs:defRPr sz="900" kern="1200" cap="all"/>
  </cs:axisTitle>
  <cs:categoryAxis>
    <cs:lnRef idx="0"/>
    <cs:fillRef idx="0"/>
    <cs:effectRef idx="0"/>
    <cs:fontRef idx="minor">
      <a:schemeClr val="tx1">
        <a:lumMod val="65000"/>
        <a:lumOff val="35000"/>
      </a:schemeClr>
    </cs:fontRef>
    <cs:defRPr sz="900" kern="1200"/>
  </cs:categoryAxis>
  <cs:chartArea mods="allowNoFillOverride allowNoLineOverride">
    <cs:lnRef idx="0"/>
    <cs:fillRef idx="0"/>
    <cs:effectRef idx="0"/>
    <cs:fontRef idx="minor">
      <a:schemeClr val="tx1"/>
    </cs:fontRef>
    <cs:spPr>
      <a:solidFill>
        <a:schemeClr val="bg1"/>
      </a:solidFill>
      <a:ln w="9525">
        <a:solidFill>
          <a:schemeClr val="tx1">
            <a:lumMod val="15000"/>
            <a:lumOff val="85000"/>
          </a:schemeClr>
        </a:solidFill>
        <a:round/>
      </a:ln>
    </cs:spPr>
    <cs:defRPr sz="1000" kern="1200"/>
  </cs:chartArea>
  <cs:dataLabel>
    <cs:lnRef idx="0"/>
    <cs:fillRef idx="0"/>
    <cs:effectRef idx="0"/>
    <cs:fontRef idx="minor">
      <cs:styleClr val="auto"/>
    </cs:fontRef>
    <cs:defRPr sz="1000" b="1" i="0" u="none" strike="noStrike" kern="1200" spc="0" baseline="0"/>
  </cs:dataLabel>
  <cs:dataLabelCallout>
    <cs:lnRef idx="0">
      <cs:styleClr val="auto"/>
    </cs:lnRef>
    <cs:fillRef idx="0"/>
    <cs:effectRef idx="0"/>
    <cs:fontRef idx="minor">
      <cs:styleClr val="auto"/>
    </cs:fontRef>
    <cs:spPr>
      <a:solidFill>
        <a:schemeClr val="lt1"/>
      </a:solidFill>
      <a:ln>
        <a:solidFill>
          <a:schemeClr val="phClr"/>
        </a:solidFill>
      </a:ln>
    </cs:spPr>
    <cs:defRPr sz="1000" b="1" kern="1200"/>
    <cs:bodyPr rot="0" spcFirstLastPara="1" vertOverflow="clip" horzOverflow="clip" vert="horz" wrap="square" lIns="36576" tIns="18288" rIns="36576" bIns="18288" anchor="ctr" anchorCtr="1">
      <a:spAutoFit/>
    </cs:bodyPr>
  </cs:dataLabelCallout>
  <cs:dataPoint>
    <cs:lnRef idx="0"/>
    <cs:fillRef idx="0">
      <cs:styleClr val="auto"/>
    </cs:fillRef>
    <cs:effectRef idx="0"/>
    <cs:fontRef idx="minor">
      <a:schemeClr val="dk1"/>
    </cs:fontRef>
    <cs:spPr>
      <a:solidFill>
        <a:schemeClr val="phClr"/>
      </a:solidFill>
      <a:effectLst>
        <a:outerShdw blurRad="63500" dist="0" dir="0" sx="102000" sy="102000" kx="0" ky="0" algn="ctr" rotWithShape="0">
          <a:prstClr val="black">
            <a:alpha val="20000"/>
          </a:prstClr>
        </a:outerShdw>
      </a:effectLst>
    </cs:spPr>
  </cs:dataPoint>
  <cs:dataPoint3D>
    <cs:lnRef idx="0"/>
    <cs:fillRef idx="0">
      <cs:styleClr val="auto"/>
    </cs:fillRef>
    <cs:effectRef idx="0"/>
    <cs:fontRef idx="minor">
      <a:schemeClr val="dk1"/>
    </cs:fontRef>
    <cs:spPr>
      <a:solidFill>
        <a:schemeClr val="phClr"/>
      </a:solidFill>
      <a:effectLst>
        <a:outerShdw blurRad="88900" dist="0" dir="0" sx="102000" sy="102000" kx="0" ky="0" algn="ctr" rotWithShape="0">
          <a:prstClr val="black">
            <a:alpha val="10000"/>
          </a:prstClr>
        </a:outerShdw>
      </a:effectLst>
      <a:scene3d>
        <a:camera prst="orthographicFront"/>
        <a:lightRig rig="threePt" dir="t"/>
      </a:scene3d>
      <a:sp3d>
        <a:bevelT w="127000" h="127000" prst="circle"/>
        <a:bevelB w="127000" h="127000" prst="circle"/>
      </a:sp3d>
    </cs:spPr>
  </cs:dataPoint3D>
  <cs:dataPointLine>
    <cs:lnRef idx="0">
      <cs:styleClr val="auto"/>
    </cs:lnRef>
    <cs:fillRef idx="0"/>
    <cs:effectRef idx="0"/>
    <cs:fontRef idx="minor">
      <a:schemeClr val="dk1"/>
    </cs:fontRef>
    <cs:spPr>
      <a:ln w="28575" cap="rnd">
        <a:solidFill>
          <a:schemeClr val="phClr"/>
        </a:solidFill>
        <a:round/>
      </a:ln>
    </cs:spPr>
  </cs:dataPointLine>
  <cs:dataPointMarker>
    <cs:lnRef idx="0"/>
    <cs:fillRef idx="0">
      <cs:styleClr val="auto"/>
    </cs:fillRef>
    <cs:effectRef idx="0"/>
    <cs:fontRef idx="minor">
      <a:schemeClr val="dk1"/>
    </cs:fontRef>
    <cs:spPr>
      <a:solidFill>
        <a:schemeClr val="phClr"/>
      </a:solidFill>
      <a:ln w="9525">
        <a:solidFill>
          <a:schemeClr val="lt1"/>
        </a:solidFill>
      </a:ln>
    </cs:spPr>
  </cs:dataPointMarker>
  <cs:dataPointMarkerLayout symbol="circle" size="6"/>
  <cs:dataPointWireframe>
    <cs:lnRef idx="0">
      <cs:styleClr val="auto"/>
    </cs:lnRef>
    <cs:fillRef idx="0"/>
    <cs:effectRef idx="0"/>
    <cs:fontRef idx="minor">
      <a:schemeClr val="dk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a:solidFill>
          <a:schemeClr val="tx1">
            <a:lumMod val="65000"/>
            <a:lumOff val="35000"/>
          </a:schemeClr>
        </a:solidFill>
        <a:round/>
      </a:ln>
    </cs:spPr>
  </cs:downBar>
  <cs:dropLine>
    <cs:lnRef idx="0"/>
    <cs:fillRef idx="0"/>
    <cs:effectRef idx="0"/>
    <cs:fontRef idx="minor">
      <a:schemeClr val="tx1"/>
    </cs:fontRef>
    <cs:spPr>
      <a:ln w="9525">
        <a:solidFill>
          <a:schemeClr val="tx1">
            <a:lumMod val="35000"/>
            <a:lumOff val="65000"/>
          </a:schemeClr>
        </a:solidFill>
        <a:round/>
      </a:ln>
    </cs:spPr>
  </cs:dropLine>
  <cs:errorBar>
    <cs:lnRef idx="0"/>
    <cs:fillRef idx="0"/>
    <cs:effectRef idx="0"/>
    <cs:fontRef idx="minor">
      <a:schemeClr val="tx1"/>
    </cs:fontRef>
    <cs:spPr>
      <a:ln w="9525">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a:solidFill>
          <a:schemeClr val="tx1">
            <a:lumMod val="15000"/>
            <a:lumOff val="85000"/>
          </a:schemeClr>
        </a:solidFill>
        <a:round/>
      </a:ln>
    </cs:spPr>
  </cs:gridlineMajor>
  <cs:gridlineMinor>
    <cs:lnRef idx="0"/>
    <cs:fillRef idx="0"/>
    <cs:effectRef idx="0"/>
    <cs:fontRef idx="minor">
      <a:schemeClr val="tx1"/>
    </cs:fontRef>
    <cs:spPr>
      <a:ln w="9525">
        <a:solidFill>
          <a:schemeClr val="tx1">
            <a:lumMod val="5000"/>
            <a:lumOff val="95000"/>
          </a:schemeClr>
        </a:solidFill>
        <a:round/>
      </a:ln>
    </cs:spPr>
  </cs:gridlineMinor>
  <cs:hiLoLine>
    <cs:lnRef idx="0"/>
    <cs:fillRef idx="0"/>
    <cs:effectRef idx="0"/>
    <cs:fontRef idx="minor">
      <a:schemeClr val="tx1"/>
    </cs:fontRef>
    <cs:spPr>
      <a:ln w="9525">
        <a:solidFill>
          <a:schemeClr val="tx1">
            <a:lumMod val="50000"/>
            <a:lumOff val="50000"/>
          </a:schemeClr>
        </a:solidFill>
        <a:round/>
      </a:ln>
    </cs:spPr>
  </cs:hiLoLine>
  <cs:leaderLine>
    <cs:lnRef idx="0"/>
    <cs:fillRef idx="0"/>
    <cs:effectRef idx="0"/>
    <cs:fontRef idx="minor">
      <a:schemeClr val="tx1"/>
    </cs:fontRef>
    <cs:spPr>
      <a:ln w="9525">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dk1"/>
    </cs:fontRef>
  </cs:plotArea>
  <cs:plotArea3D mods="allowNoFillOverride allowNoLineOverride">
    <cs:lnRef idx="0"/>
    <cs:fillRef idx="0"/>
    <cs:effectRef idx="0"/>
    <cs:fontRef idx="minor">
      <a:schemeClr val="dk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a:solidFill>
          <a:schemeClr val="tx1">
            <a:lumMod val="35000"/>
            <a:lumOff val="65000"/>
          </a:schemeClr>
        </a:solidFill>
        <a:round/>
      </a:ln>
    </cs:spPr>
  </cs:seriesLine>
  <cs:title>
    <cs:lnRef idx="0"/>
    <cs:fillRef idx="0"/>
    <cs:effectRef idx="0"/>
    <cs:fontRef idx="minor">
      <a:schemeClr val="tx1">
        <a:lumMod val="65000"/>
        <a:lumOff val="35000"/>
      </a:schemeClr>
    </cs:fontRef>
    <cs:defRPr sz="1600" b="1" kern="1200" cap="all" baseline="0"/>
  </cs:title>
  <cs:trendline>
    <cs:lnRef idx="0">
      <cs:styleClr val="auto"/>
    </cs:lnRef>
    <cs:fillRef idx="0"/>
    <cs:effectRef idx="0"/>
    <cs:fontRef idx="minor">
      <a:schemeClr val="tx1"/>
    </cs:fontRef>
    <cs:spPr>
      <a:ln w="19050" cap="rnd">
        <a:solidFill>
          <a:schemeClr val="phClr"/>
        </a:solidFill>
        <a:prstDash val="sysDash"/>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chart/style4.xml><?xml version="1.0" encoding="utf-8"?>
<cs:chartStyle xmlns:cs="http://schemas.microsoft.com/office/drawing/2012/chartStyle" xmlns:a="http://schemas.openxmlformats.org/drawingml/2006/main" id="259">
  <cs:axisTitle>
    <cs:lnRef idx="0"/>
    <cs:fillRef idx="0"/>
    <cs:effectRef idx="0"/>
    <cs:fontRef idx="minor">
      <a:schemeClr val="tx1">
        <a:lumMod val="65000"/>
        <a:lumOff val="35000"/>
      </a:schemeClr>
    </cs:fontRef>
    <cs:defRPr sz="900" kern="1200" cap="all"/>
  </cs:axisTitle>
  <cs:categoryAxis>
    <cs:lnRef idx="0"/>
    <cs:fillRef idx="0"/>
    <cs:effectRef idx="0"/>
    <cs:fontRef idx="minor">
      <a:schemeClr val="tx1">
        <a:lumMod val="65000"/>
        <a:lumOff val="35000"/>
      </a:schemeClr>
    </cs:fontRef>
    <cs:defRPr sz="900" kern="1200"/>
  </cs:categoryAxis>
  <cs:chartArea mods="allowNoFillOverride allowNoLineOverride">
    <cs:lnRef idx="0"/>
    <cs:fillRef idx="0"/>
    <cs:effectRef idx="0"/>
    <cs:fontRef idx="minor">
      <a:schemeClr val="tx1"/>
    </cs:fontRef>
    <cs:spPr>
      <a:solidFill>
        <a:schemeClr val="bg1"/>
      </a:solidFill>
      <a:ln w="9525">
        <a:solidFill>
          <a:schemeClr val="tx1">
            <a:lumMod val="15000"/>
            <a:lumOff val="85000"/>
          </a:schemeClr>
        </a:solidFill>
        <a:round/>
      </a:ln>
    </cs:spPr>
    <cs:defRPr sz="1000" kern="1200"/>
  </cs:chartArea>
  <cs:dataLabel>
    <cs:lnRef idx="0"/>
    <cs:fillRef idx="0"/>
    <cs:effectRef idx="0"/>
    <cs:fontRef idx="minor">
      <cs:styleClr val="auto"/>
    </cs:fontRef>
    <cs:defRPr sz="1000" b="1" i="0" u="none" strike="noStrike" kern="1200" spc="0" baseline="0"/>
  </cs:dataLabel>
  <cs:dataLabelCallout>
    <cs:lnRef idx="0">
      <cs:styleClr val="auto"/>
    </cs:lnRef>
    <cs:fillRef idx="0"/>
    <cs:effectRef idx="0"/>
    <cs:fontRef idx="minor">
      <cs:styleClr val="auto"/>
    </cs:fontRef>
    <cs:spPr>
      <a:solidFill>
        <a:schemeClr val="lt1"/>
      </a:solidFill>
      <a:ln>
        <a:solidFill>
          <a:schemeClr val="phClr"/>
        </a:solidFill>
      </a:ln>
    </cs:spPr>
    <cs:defRPr sz="1000" b="1" kern="1200"/>
    <cs:bodyPr rot="0" spcFirstLastPara="1" vertOverflow="clip" horzOverflow="clip" vert="horz" wrap="square" lIns="36576" tIns="18288" rIns="36576" bIns="18288" anchor="ctr" anchorCtr="1">
      <a:spAutoFit/>
    </cs:bodyPr>
  </cs:dataLabelCallout>
  <cs:dataPoint>
    <cs:lnRef idx="0"/>
    <cs:fillRef idx="0">
      <cs:styleClr val="auto"/>
    </cs:fillRef>
    <cs:effectRef idx="0"/>
    <cs:fontRef idx="minor">
      <a:schemeClr val="dk1"/>
    </cs:fontRef>
    <cs:spPr>
      <a:solidFill>
        <a:schemeClr val="phClr"/>
      </a:solidFill>
      <a:effectLst>
        <a:outerShdw blurRad="63500" dist="0" dir="0" sx="102000" sy="102000" kx="0" ky="0" algn="ctr" rotWithShape="0">
          <a:prstClr val="black">
            <a:alpha val="20000"/>
          </a:prstClr>
        </a:outerShdw>
      </a:effectLst>
    </cs:spPr>
  </cs:dataPoint>
  <cs:dataPoint3D>
    <cs:lnRef idx="0"/>
    <cs:fillRef idx="0">
      <cs:styleClr val="auto"/>
    </cs:fillRef>
    <cs:effectRef idx="0"/>
    <cs:fontRef idx="minor">
      <a:schemeClr val="dk1"/>
    </cs:fontRef>
    <cs:spPr>
      <a:solidFill>
        <a:schemeClr val="phClr"/>
      </a:solidFill>
      <a:effectLst>
        <a:outerShdw blurRad="88900" dist="0" dir="0" sx="102000" sy="102000" kx="0" ky="0" algn="ctr" rotWithShape="0">
          <a:prstClr val="black">
            <a:alpha val="10000"/>
          </a:prstClr>
        </a:outerShdw>
      </a:effectLst>
      <a:scene3d>
        <a:camera prst="orthographicFront"/>
        <a:lightRig rig="threePt" dir="t"/>
      </a:scene3d>
      <a:sp3d>
        <a:bevelT w="127000" h="127000" prst="circle"/>
        <a:bevelB w="127000" h="127000" prst="circle"/>
      </a:sp3d>
    </cs:spPr>
  </cs:dataPoint3D>
  <cs:dataPointLine>
    <cs:lnRef idx="0">
      <cs:styleClr val="auto"/>
    </cs:lnRef>
    <cs:fillRef idx="0"/>
    <cs:effectRef idx="0"/>
    <cs:fontRef idx="minor">
      <a:schemeClr val="dk1"/>
    </cs:fontRef>
    <cs:spPr>
      <a:ln w="28575" cap="rnd">
        <a:solidFill>
          <a:schemeClr val="phClr"/>
        </a:solidFill>
        <a:round/>
      </a:ln>
    </cs:spPr>
  </cs:dataPointLine>
  <cs:dataPointMarker>
    <cs:lnRef idx="0"/>
    <cs:fillRef idx="0">
      <cs:styleClr val="auto"/>
    </cs:fillRef>
    <cs:effectRef idx="0"/>
    <cs:fontRef idx="minor">
      <a:schemeClr val="dk1"/>
    </cs:fontRef>
    <cs:spPr>
      <a:solidFill>
        <a:schemeClr val="phClr"/>
      </a:solidFill>
      <a:ln w="9525">
        <a:solidFill>
          <a:schemeClr val="lt1"/>
        </a:solidFill>
      </a:ln>
    </cs:spPr>
  </cs:dataPointMarker>
  <cs:dataPointMarkerLayout symbol="circle" size="6"/>
  <cs:dataPointWireframe>
    <cs:lnRef idx="0">
      <cs:styleClr val="auto"/>
    </cs:lnRef>
    <cs:fillRef idx="0"/>
    <cs:effectRef idx="0"/>
    <cs:fontRef idx="minor">
      <a:schemeClr val="dk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a:solidFill>
          <a:schemeClr val="tx1">
            <a:lumMod val="65000"/>
            <a:lumOff val="35000"/>
          </a:schemeClr>
        </a:solidFill>
        <a:round/>
      </a:ln>
    </cs:spPr>
  </cs:downBar>
  <cs:dropLine>
    <cs:lnRef idx="0"/>
    <cs:fillRef idx="0"/>
    <cs:effectRef idx="0"/>
    <cs:fontRef idx="minor">
      <a:schemeClr val="tx1"/>
    </cs:fontRef>
    <cs:spPr>
      <a:ln w="9525">
        <a:solidFill>
          <a:schemeClr val="tx1">
            <a:lumMod val="35000"/>
            <a:lumOff val="65000"/>
          </a:schemeClr>
        </a:solidFill>
        <a:round/>
      </a:ln>
    </cs:spPr>
  </cs:dropLine>
  <cs:errorBar>
    <cs:lnRef idx="0"/>
    <cs:fillRef idx="0"/>
    <cs:effectRef idx="0"/>
    <cs:fontRef idx="minor">
      <a:schemeClr val="tx1"/>
    </cs:fontRef>
    <cs:spPr>
      <a:ln w="9525">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a:solidFill>
          <a:schemeClr val="tx1">
            <a:lumMod val="15000"/>
            <a:lumOff val="85000"/>
          </a:schemeClr>
        </a:solidFill>
        <a:round/>
      </a:ln>
    </cs:spPr>
  </cs:gridlineMajor>
  <cs:gridlineMinor>
    <cs:lnRef idx="0"/>
    <cs:fillRef idx="0"/>
    <cs:effectRef idx="0"/>
    <cs:fontRef idx="minor">
      <a:schemeClr val="tx1"/>
    </cs:fontRef>
    <cs:spPr>
      <a:ln w="9525">
        <a:solidFill>
          <a:schemeClr val="tx1">
            <a:lumMod val="5000"/>
            <a:lumOff val="95000"/>
          </a:schemeClr>
        </a:solidFill>
        <a:round/>
      </a:ln>
    </cs:spPr>
  </cs:gridlineMinor>
  <cs:hiLoLine>
    <cs:lnRef idx="0"/>
    <cs:fillRef idx="0"/>
    <cs:effectRef idx="0"/>
    <cs:fontRef idx="minor">
      <a:schemeClr val="tx1"/>
    </cs:fontRef>
    <cs:spPr>
      <a:ln w="9525">
        <a:solidFill>
          <a:schemeClr val="tx1">
            <a:lumMod val="50000"/>
            <a:lumOff val="50000"/>
          </a:schemeClr>
        </a:solidFill>
        <a:round/>
      </a:ln>
    </cs:spPr>
  </cs:hiLoLine>
  <cs:leaderLine>
    <cs:lnRef idx="0"/>
    <cs:fillRef idx="0"/>
    <cs:effectRef idx="0"/>
    <cs:fontRef idx="minor">
      <a:schemeClr val="tx1"/>
    </cs:fontRef>
    <cs:spPr>
      <a:ln w="9525">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dk1"/>
    </cs:fontRef>
  </cs:plotArea>
  <cs:plotArea3D mods="allowNoFillOverride allowNoLineOverride">
    <cs:lnRef idx="0"/>
    <cs:fillRef idx="0"/>
    <cs:effectRef idx="0"/>
    <cs:fontRef idx="minor">
      <a:schemeClr val="dk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a:solidFill>
          <a:schemeClr val="tx1">
            <a:lumMod val="35000"/>
            <a:lumOff val="65000"/>
          </a:schemeClr>
        </a:solidFill>
        <a:round/>
      </a:ln>
    </cs:spPr>
  </cs:seriesLine>
  <cs:title>
    <cs:lnRef idx="0"/>
    <cs:fillRef idx="0"/>
    <cs:effectRef idx="0"/>
    <cs:fontRef idx="minor">
      <a:schemeClr val="tx1">
        <a:lumMod val="65000"/>
        <a:lumOff val="35000"/>
      </a:schemeClr>
    </cs:fontRef>
    <cs:defRPr sz="1600" b="1" kern="1200" cap="all" baseline="0"/>
  </cs:title>
  <cs:trendline>
    <cs:lnRef idx="0">
      <cs:styleClr val="auto"/>
    </cs:lnRef>
    <cs:fillRef idx="0"/>
    <cs:effectRef idx="0"/>
    <cs:fontRef idx="minor">
      <a:schemeClr val="tx1"/>
    </cs:fontRef>
    <cs:spPr>
      <a:ln w="19050" cap="rnd">
        <a:solidFill>
          <a:schemeClr val="phClr"/>
        </a:solidFill>
        <a:prstDash val="sysDash"/>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chart1.xml><?xml version="1.0" encoding="utf-8"?>
<c:chartSpace xmlns:c="http://schemas.openxmlformats.org/drawingml/2006/chart" xmlns:a="http://schemas.openxmlformats.org/drawingml/2006/main" xmlns:r="http://schemas.openxmlformats.org/officeDocument/2006/relationships">
  <c:date1904 val="0"/>
  <c:lang val="lv-LV"/>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view3D>
      <c:rotX val="30"/>
      <c:rotY val="0"/>
      <c:rAngAx val="0"/>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pie3DChart>
        <c:varyColors val="1"/>
        <c:ser>
          <c:idx val="0"/>
          <c:order val="0"/>
          <c:dPt>
            <c:idx val="0"/>
            <c:bubble3D val="0"/>
            <c:spPr>
              <a:solidFill>
                <a:schemeClr val="accent1"/>
              </a:solidFill>
              <a:ln>
                <a:noFill/>
              </a:ln>
              <a:effectLst>
                <a:outerShdw blurRad="88900" dist="0" dir="0" sx="102000" sy="102000" kx="0" ky="0" algn="ctr" rotWithShape="0">
                  <a:prstClr val="black">
                    <a:alpha val="10000"/>
                  </a:prstClr>
                </a:outerShdw>
              </a:effectLst>
              <a:scene3d>
                <a:camera prst="orthographicFront"/>
                <a:lightRig rig="threePt" dir="t"/>
              </a:scene3d>
              <a:sp3d>
                <a:bevelT w="127000" h="127000" prst="circle"/>
                <a:bevelB w="127000" h="127000" prst="circle"/>
              </a:sp3d>
            </c:spPr>
            <c:extLst>
              <c:ext xmlns:c16="http://schemas.microsoft.com/office/drawing/2014/chart" uri="{C3380CC4-5D6E-409C-BE32-E72D297353CC}">
                <c16:uniqueId val="{00000001-1FC7-49EB-B726-AAD1B5B01752}"/>
              </c:ext>
            </c:extLst>
          </c:dPt>
          <c:dPt>
            <c:idx val="1"/>
            <c:bubble3D val="0"/>
            <c:spPr>
              <a:solidFill>
                <a:schemeClr val="accent2"/>
              </a:solidFill>
              <a:ln>
                <a:noFill/>
              </a:ln>
              <a:effectLst>
                <a:outerShdw blurRad="88900" dist="0" dir="0" sx="102000" sy="102000" kx="0" ky="0" algn="ctr" rotWithShape="0">
                  <a:prstClr val="black">
                    <a:alpha val="10000"/>
                  </a:prstClr>
                </a:outerShdw>
              </a:effectLst>
              <a:scene3d>
                <a:camera prst="orthographicFront"/>
                <a:lightRig rig="threePt" dir="t"/>
              </a:scene3d>
              <a:sp3d>
                <a:bevelT w="127000" h="127000" prst="circle"/>
                <a:bevelB w="127000" h="127000" prst="circle"/>
              </a:sp3d>
            </c:spPr>
            <c:extLst>
              <c:ext xmlns:c16="http://schemas.microsoft.com/office/drawing/2014/chart" uri="{C3380CC4-5D6E-409C-BE32-E72D297353CC}">
                <c16:uniqueId val="{00000003-1FC7-49EB-B726-AAD1B5B01752}"/>
              </c:ext>
            </c:extLst>
          </c:dPt>
          <c:dPt>
            <c:idx val="2"/>
            <c:bubble3D val="0"/>
            <c:spPr>
              <a:solidFill>
                <a:schemeClr val="accent3"/>
              </a:solidFill>
              <a:ln>
                <a:noFill/>
              </a:ln>
              <a:effectLst>
                <a:outerShdw blurRad="88900" dist="0" dir="0" sx="102000" sy="102000" kx="0" ky="0" algn="ctr" rotWithShape="0">
                  <a:prstClr val="black">
                    <a:alpha val="10000"/>
                  </a:prstClr>
                </a:outerShdw>
              </a:effectLst>
              <a:scene3d>
                <a:camera prst="orthographicFront"/>
                <a:lightRig rig="threePt" dir="t"/>
              </a:scene3d>
              <a:sp3d>
                <a:bevelT w="127000" h="127000" prst="circle"/>
                <a:bevelB w="127000" h="127000" prst="circle"/>
              </a:sp3d>
            </c:spPr>
            <c:extLst>
              <c:ext xmlns:c16="http://schemas.microsoft.com/office/drawing/2014/chart" uri="{C3380CC4-5D6E-409C-BE32-E72D297353CC}">
                <c16:uniqueId val="{00000005-1FC7-49EB-B726-AAD1B5B01752}"/>
              </c:ext>
            </c:extLst>
          </c:dPt>
          <c:dPt>
            <c:idx val="3"/>
            <c:bubble3D val="0"/>
            <c:spPr>
              <a:solidFill>
                <a:schemeClr val="accent4"/>
              </a:solidFill>
              <a:ln>
                <a:noFill/>
              </a:ln>
              <a:effectLst>
                <a:outerShdw blurRad="88900" dist="0" dir="0" sx="102000" sy="102000" kx="0" ky="0" algn="ctr" rotWithShape="0">
                  <a:prstClr val="black">
                    <a:alpha val="10000"/>
                  </a:prstClr>
                </a:outerShdw>
              </a:effectLst>
              <a:scene3d>
                <a:camera prst="orthographicFront"/>
                <a:lightRig rig="threePt" dir="t"/>
              </a:scene3d>
              <a:sp3d>
                <a:bevelT w="127000" h="127000" prst="circle"/>
                <a:bevelB w="127000" h="127000" prst="circle"/>
              </a:sp3d>
            </c:spPr>
            <c:extLst>
              <c:ext xmlns:c16="http://schemas.microsoft.com/office/drawing/2014/chart" uri="{C3380CC4-5D6E-409C-BE32-E72D297353CC}">
                <c16:uniqueId val="{00000007-1FC7-49EB-B726-AAD1B5B01752}"/>
              </c:ext>
            </c:extLst>
          </c:dPt>
          <c:dPt>
            <c:idx val="4"/>
            <c:bubble3D val="0"/>
            <c:spPr>
              <a:solidFill>
                <a:schemeClr val="accent5"/>
              </a:solidFill>
              <a:ln>
                <a:noFill/>
              </a:ln>
              <a:effectLst>
                <a:outerShdw blurRad="88900" dist="0" dir="0" sx="102000" sy="102000" kx="0" ky="0" algn="ctr" rotWithShape="0">
                  <a:prstClr val="black">
                    <a:alpha val="10000"/>
                  </a:prstClr>
                </a:outerShdw>
              </a:effectLst>
              <a:scene3d>
                <a:camera prst="orthographicFront"/>
                <a:lightRig rig="threePt" dir="t"/>
              </a:scene3d>
              <a:sp3d>
                <a:bevelT w="127000" h="127000" prst="circle"/>
                <a:bevelB w="127000" h="127000" prst="circle"/>
              </a:sp3d>
            </c:spPr>
            <c:extLst>
              <c:ext xmlns:c16="http://schemas.microsoft.com/office/drawing/2014/chart" uri="{C3380CC4-5D6E-409C-BE32-E72D297353CC}">
                <c16:uniqueId val="{00000009-1FC7-49EB-B726-AAD1B5B01752}"/>
              </c:ext>
            </c:extLst>
          </c:dPt>
          <c:dPt>
            <c:idx val="5"/>
            <c:bubble3D val="0"/>
            <c:spPr>
              <a:solidFill>
                <a:schemeClr val="accent6"/>
              </a:solidFill>
              <a:ln>
                <a:noFill/>
              </a:ln>
              <a:effectLst>
                <a:outerShdw blurRad="88900" dist="0" dir="0" sx="102000" sy="102000" kx="0" ky="0" algn="ctr" rotWithShape="0">
                  <a:prstClr val="black">
                    <a:alpha val="10000"/>
                  </a:prstClr>
                </a:outerShdw>
              </a:effectLst>
              <a:scene3d>
                <a:camera prst="orthographicFront"/>
                <a:lightRig rig="threePt" dir="t"/>
              </a:scene3d>
              <a:sp3d>
                <a:bevelT w="127000" h="127000" prst="circle"/>
                <a:bevelB w="127000" h="127000" prst="circle"/>
              </a:sp3d>
            </c:spPr>
            <c:extLst>
              <c:ext xmlns:c16="http://schemas.microsoft.com/office/drawing/2014/chart" uri="{C3380CC4-5D6E-409C-BE32-E72D297353CC}">
                <c16:uniqueId val="{0000000B-1FC7-49EB-B726-AAD1B5B01752}"/>
              </c:ext>
            </c:extLst>
          </c:dPt>
          <c:dPt>
            <c:idx val="6"/>
            <c:bubble3D val="0"/>
            <c:spPr>
              <a:solidFill>
                <a:schemeClr val="accent1">
                  <a:lumMod val="60000"/>
                </a:schemeClr>
              </a:solidFill>
              <a:ln>
                <a:noFill/>
              </a:ln>
              <a:effectLst>
                <a:outerShdw blurRad="88900" dist="0" dir="0" sx="102000" sy="102000" kx="0" ky="0" algn="ctr" rotWithShape="0">
                  <a:prstClr val="black">
                    <a:alpha val="10000"/>
                  </a:prstClr>
                </a:outerShdw>
              </a:effectLst>
              <a:scene3d>
                <a:camera prst="orthographicFront"/>
                <a:lightRig rig="threePt" dir="t"/>
              </a:scene3d>
              <a:sp3d>
                <a:bevelT w="127000" h="127000" prst="circle"/>
                <a:bevelB w="127000" h="127000" prst="circle"/>
              </a:sp3d>
            </c:spPr>
            <c:extLst>
              <c:ext xmlns:c16="http://schemas.microsoft.com/office/drawing/2014/chart" uri="{C3380CC4-5D6E-409C-BE32-E72D297353CC}">
                <c16:uniqueId val="{0000000D-1FC7-49EB-B726-AAD1B5B01752}"/>
              </c:ext>
            </c:extLst>
          </c:dPt>
          <c:dPt>
            <c:idx val="7"/>
            <c:bubble3D val="0"/>
            <c:spPr>
              <a:solidFill>
                <a:schemeClr val="accent2">
                  <a:lumMod val="60000"/>
                </a:schemeClr>
              </a:solidFill>
              <a:ln>
                <a:noFill/>
              </a:ln>
              <a:effectLst>
                <a:outerShdw blurRad="88900" dist="0" dir="0" sx="102000" sy="102000" kx="0" ky="0" algn="ctr" rotWithShape="0">
                  <a:prstClr val="black">
                    <a:alpha val="10000"/>
                  </a:prstClr>
                </a:outerShdw>
              </a:effectLst>
              <a:scene3d>
                <a:camera prst="orthographicFront"/>
                <a:lightRig rig="threePt" dir="t"/>
              </a:scene3d>
              <a:sp3d>
                <a:bevelT w="127000" h="127000" prst="circle"/>
                <a:bevelB w="127000" h="127000" prst="circle"/>
              </a:sp3d>
            </c:spPr>
            <c:extLst>
              <c:ext xmlns:c16="http://schemas.microsoft.com/office/drawing/2014/chart" uri="{C3380CC4-5D6E-409C-BE32-E72D297353CC}">
                <c16:uniqueId val="{0000000F-1FC7-49EB-B726-AAD1B5B01752}"/>
              </c:ext>
            </c:extLst>
          </c:dPt>
          <c:dPt>
            <c:idx val="8"/>
            <c:bubble3D val="0"/>
            <c:spPr>
              <a:solidFill>
                <a:schemeClr val="accent3">
                  <a:lumMod val="60000"/>
                </a:schemeClr>
              </a:solidFill>
              <a:ln>
                <a:noFill/>
              </a:ln>
              <a:effectLst>
                <a:outerShdw blurRad="88900" dist="0" dir="0" sx="102000" sy="102000" kx="0" ky="0" algn="ctr" rotWithShape="0">
                  <a:prstClr val="black">
                    <a:alpha val="10000"/>
                  </a:prstClr>
                </a:outerShdw>
              </a:effectLst>
              <a:scene3d>
                <a:camera prst="orthographicFront"/>
                <a:lightRig rig="threePt" dir="t"/>
              </a:scene3d>
              <a:sp3d>
                <a:bevelT w="127000" h="127000" prst="circle"/>
                <a:bevelB w="127000" h="127000" prst="circle"/>
              </a:sp3d>
            </c:spPr>
            <c:extLst>
              <c:ext xmlns:c16="http://schemas.microsoft.com/office/drawing/2014/chart" uri="{C3380CC4-5D6E-409C-BE32-E72D297353CC}">
                <c16:uniqueId val="{00000011-1FC7-49EB-B726-AAD1B5B01752}"/>
              </c:ext>
            </c:extLst>
          </c:dPt>
          <c:dPt>
            <c:idx val="9"/>
            <c:bubble3D val="0"/>
            <c:spPr>
              <a:solidFill>
                <a:schemeClr val="accent4">
                  <a:lumMod val="60000"/>
                </a:schemeClr>
              </a:solidFill>
              <a:ln>
                <a:noFill/>
              </a:ln>
              <a:effectLst>
                <a:outerShdw blurRad="88900" dist="0" dir="0" sx="102000" sy="102000" kx="0" ky="0" algn="ctr" rotWithShape="0">
                  <a:prstClr val="black">
                    <a:alpha val="10000"/>
                  </a:prstClr>
                </a:outerShdw>
              </a:effectLst>
              <a:scene3d>
                <a:camera prst="orthographicFront"/>
                <a:lightRig rig="threePt" dir="t"/>
              </a:scene3d>
              <a:sp3d>
                <a:bevelT w="127000" h="127000" prst="circle"/>
                <a:bevelB w="127000" h="127000" prst="circle"/>
              </a:sp3d>
            </c:spPr>
            <c:extLst>
              <c:ext xmlns:c16="http://schemas.microsoft.com/office/drawing/2014/chart" uri="{C3380CC4-5D6E-409C-BE32-E72D297353CC}">
                <c16:uniqueId val="{00000013-1FC7-49EB-B726-AAD1B5B01752}"/>
              </c:ext>
            </c:extLst>
          </c:dPt>
          <c:dPt>
            <c:idx val="10"/>
            <c:bubble3D val="0"/>
            <c:spPr>
              <a:solidFill>
                <a:schemeClr val="accent5">
                  <a:lumMod val="60000"/>
                </a:schemeClr>
              </a:solidFill>
              <a:ln>
                <a:noFill/>
              </a:ln>
              <a:effectLst>
                <a:outerShdw blurRad="88900" dist="0" dir="0" sx="102000" sy="102000" kx="0" ky="0" algn="ctr" rotWithShape="0">
                  <a:prstClr val="black">
                    <a:alpha val="10000"/>
                  </a:prstClr>
                </a:outerShdw>
              </a:effectLst>
              <a:scene3d>
                <a:camera prst="orthographicFront"/>
                <a:lightRig rig="threePt" dir="t"/>
              </a:scene3d>
              <a:sp3d>
                <a:bevelT w="127000" h="127000" prst="circle"/>
                <a:bevelB w="127000" h="127000" prst="circle"/>
              </a:sp3d>
            </c:spPr>
            <c:extLst>
              <c:ext xmlns:c16="http://schemas.microsoft.com/office/drawing/2014/chart" uri="{C3380CC4-5D6E-409C-BE32-E72D297353CC}">
                <c16:uniqueId val="{00000015-1FC7-49EB-B726-AAD1B5B01752}"/>
              </c:ext>
            </c:extLst>
          </c:dPt>
          <c:dLbls>
            <c:dLbl>
              <c:idx val="0"/>
              <c:numFmt formatCode="0.00%" sourceLinked="0"/>
              <c:spPr>
                <a:noFill/>
                <a:ln>
                  <a:noFill/>
                </a:ln>
                <a:effectLst/>
              </c:spPr>
              <c:txPr>
                <a:bodyPr rot="0" spcFirstLastPara="1" vertOverflow="ellipsis" vert="horz" wrap="square" lIns="38100" tIns="19050" rIns="38100" bIns="19050" anchor="ctr" anchorCtr="1">
                  <a:spAutoFit/>
                </a:bodyPr>
                <a:lstStyle/>
                <a:p>
                  <a:pPr>
                    <a:defRPr sz="1000" b="1" i="0" u="none" strike="noStrike" kern="1200" spc="0" baseline="0">
                      <a:solidFill>
                        <a:sysClr val="windowText" lastClr="000000"/>
                      </a:solidFill>
                      <a:latin typeface="+mn-lt"/>
                      <a:ea typeface="+mn-ea"/>
                      <a:cs typeface="+mn-cs"/>
                    </a:defRPr>
                  </a:pPr>
                  <a:endParaRPr lang="lv-LV"/>
                </a:p>
              </c:txPr>
              <c:dLblPos val="outEnd"/>
              <c:showLegendKey val="0"/>
              <c:showVal val="1"/>
              <c:showCatName val="1"/>
              <c:showSerName val="0"/>
              <c:showPercent val="1"/>
              <c:showBubbleSize val="0"/>
              <c:extLst>
                <c:ext xmlns:c16="http://schemas.microsoft.com/office/drawing/2014/chart" uri="{C3380CC4-5D6E-409C-BE32-E72D297353CC}">
                  <c16:uniqueId val="{00000001-1FC7-49EB-B726-AAD1B5B01752}"/>
                </c:ext>
              </c:extLst>
            </c:dLbl>
            <c:dLbl>
              <c:idx val="1"/>
              <c:numFmt formatCode="0.00%" sourceLinked="0"/>
              <c:spPr>
                <a:noFill/>
                <a:ln>
                  <a:noFill/>
                </a:ln>
                <a:effectLst/>
              </c:spPr>
              <c:txPr>
                <a:bodyPr rot="0" spcFirstLastPara="1" vertOverflow="ellipsis" vert="horz" wrap="square" lIns="38100" tIns="19050" rIns="38100" bIns="19050" anchor="ctr" anchorCtr="1">
                  <a:spAutoFit/>
                </a:bodyPr>
                <a:lstStyle/>
                <a:p>
                  <a:pPr>
                    <a:defRPr sz="1000" b="1" i="0" u="none" strike="noStrike" kern="1200" spc="0" baseline="0">
                      <a:solidFill>
                        <a:sysClr val="windowText" lastClr="000000"/>
                      </a:solidFill>
                      <a:latin typeface="+mn-lt"/>
                      <a:ea typeface="+mn-ea"/>
                      <a:cs typeface="+mn-cs"/>
                    </a:defRPr>
                  </a:pPr>
                  <a:endParaRPr lang="lv-LV"/>
                </a:p>
              </c:txPr>
              <c:dLblPos val="outEnd"/>
              <c:showLegendKey val="0"/>
              <c:showVal val="1"/>
              <c:showCatName val="1"/>
              <c:showSerName val="0"/>
              <c:showPercent val="1"/>
              <c:showBubbleSize val="0"/>
              <c:extLst>
                <c:ext xmlns:c16="http://schemas.microsoft.com/office/drawing/2014/chart" uri="{C3380CC4-5D6E-409C-BE32-E72D297353CC}">
                  <c16:uniqueId val="{00000003-1FC7-49EB-B726-AAD1B5B01752}"/>
                </c:ext>
              </c:extLst>
            </c:dLbl>
            <c:dLbl>
              <c:idx val="2"/>
              <c:numFmt formatCode="0.00%" sourceLinked="0"/>
              <c:spPr>
                <a:noFill/>
                <a:ln>
                  <a:noFill/>
                </a:ln>
                <a:effectLst/>
              </c:spPr>
              <c:txPr>
                <a:bodyPr rot="0" spcFirstLastPara="1" vertOverflow="ellipsis" vert="horz" wrap="square" lIns="38100" tIns="19050" rIns="38100" bIns="19050" anchor="ctr" anchorCtr="1">
                  <a:spAutoFit/>
                </a:bodyPr>
                <a:lstStyle/>
                <a:p>
                  <a:pPr>
                    <a:defRPr sz="1000" b="1" i="0" u="none" strike="noStrike" kern="1200" spc="0" baseline="0">
                      <a:solidFill>
                        <a:sysClr val="windowText" lastClr="000000"/>
                      </a:solidFill>
                      <a:latin typeface="+mn-lt"/>
                      <a:ea typeface="+mn-ea"/>
                      <a:cs typeface="+mn-cs"/>
                    </a:defRPr>
                  </a:pPr>
                  <a:endParaRPr lang="lv-LV"/>
                </a:p>
              </c:txPr>
              <c:dLblPos val="outEnd"/>
              <c:showLegendKey val="0"/>
              <c:showVal val="1"/>
              <c:showCatName val="1"/>
              <c:showSerName val="0"/>
              <c:showPercent val="1"/>
              <c:showBubbleSize val="0"/>
              <c:extLst>
                <c:ext xmlns:c16="http://schemas.microsoft.com/office/drawing/2014/chart" uri="{C3380CC4-5D6E-409C-BE32-E72D297353CC}">
                  <c16:uniqueId val="{00000005-1FC7-49EB-B726-AAD1B5B01752}"/>
                </c:ext>
              </c:extLst>
            </c:dLbl>
            <c:dLbl>
              <c:idx val="3"/>
              <c:numFmt formatCode="0.00%" sourceLinked="0"/>
              <c:spPr>
                <a:noFill/>
                <a:ln>
                  <a:noFill/>
                </a:ln>
                <a:effectLst/>
              </c:spPr>
              <c:txPr>
                <a:bodyPr rot="0" spcFirstLastPara="1" vertOverflow="ellipsis" vert="horz" wrap="square" lIns="38100" tIns="19050" rIns="38100" bIns="19050" anchor="ctr" anchorCtr="1">
                  <a:spAutoFit/>
                </a:bodyPr>
                <a:lstStyle/>
                <a:p>
                  <a:pPr>
                    <a:defRPr sz="1000" b="1" i="0" u="none" strike="noStrike" kern="1200" spc="0" baseline="0">
                      <a:solidFill>
                        <a:sysClr val="windowText" lastClr="000000"/>
                      </a:solidFill>
                      <a:latin typeface="+mn-lt"/>
                      <a:ea typeface="+mn-ea"/>
                      <a:cs typeface="+mn-cs"/>
                    </a:defRPr>
                  </a:pPr>
                  <a:endParaRPr lang="lv-LV"/>
                </a:p>
              </c:txPr>
              <c:dLblPos val="outEnd"/>
              <c:showLegendKey val="0"/>
              <c:showVal val="1"/>
              <c:showCatName val="1"/>
              <c:showSerName val="0"/>
              <c:showPercent val="1"/>
              <c:showBubbleSize val="0"/>
              <c:extLst>
                <c:ext xmlns:c16="http://schemas.microsoft.com/office/drawing/2014/chart" uri="{C3380CC4-5D6E-409C-BE32-E72D297353CC}">
                  <c16:uniqueId val="{00000007-1FC7-49EB-B726-AAD1B5B01752}"/>
                </c:ext>
              </c:extLst>
            </c:dLbl>
            <c:dLbl>
              <c:idx val="4"/>
              <c:layout>
                <c:manualLayout>
                  <c:x val="-0.10912698412698413"/>
                  <c:y val="-0.15440287550027068"/>
                </c:manualLayout>
              </c:layout>
              <c:numFmt formatCode="0.00%" sourceLinked="0"/>
              <c:spPr>
                <a:noFill/>
                <a:ln>
                  <a:noFill/>
                </a:ln>
                <a:effectLst/>
              </c:spPr>
              <c:txPr>
                <a:bodyPr rot="0" spcFirstLastPara="1" vertOverflow="ellipsis" vert="horz" wrap="square" lIns="38100" tIns="19050" rIns="38100" bIns="19050" anchor="ctr" anchorCtr="1">
                  <a:spAutoFit/>
                </a:bodyPr>
                <a:lstStyle/>
                <a:p>
                  <a:pPr>
                    <a:defRPr sz="1000" b="1" i="0" u="none" strike="noStrike" kern="1200" spc="0" baseline="0">
                      <a:solidFill>
                        <a:sysClr val="windowText" lastClr="000000"/>
                      </a:solidFill>
                      <a:latin typeface="+mn-lt"/>
                      <a:ea typeface="+mn-ea"/>
                      <a:cs typeface="+mn-cs"/>
                    </a:defRPr>
                  </a:pPr>
                  <a:endParaRPr lang="lv-LV"/>
                </a:p>
              </c:txPr>
              <c:dLblPos val="bestFit"/>
              <c:showLegendKey val="0"/>
              <c:showVal val="1"/>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09-1FC7-49EB-B726-AAD1B5B01752}"/>
                </c:ext>
              </c:extLst>
            </c:dLbl>
            <c:dLbl>
              <c:idx val="5"/>
              <c:numFmt formatCode="0.00%" sourceLinked="0"/>
              <c:spPr>
                <a:noFill/>
                <a:ln>
                  <a:noFill/>
                </a:ln>
                <a:effectLst/>
              </c:spPr>
              <c:txPr>
                <a:bodyPr rot="0" spcFirstLastPara="1" vertOverflow="ellipsis" vert="horz" wrap="square" lIns="38100" tIns="19050" rIns="38100" bIns="19050" anchor="ctr" anchorCtr="1">
                  <a:spAutoFit/>
                </a:bodyPr>
                <a:lstStyle/>
                <a:p>
                  <a:pPr>
                    <a:defRPr sz="1000" b="1" i="0" u="none" strike="noStrike" kern="1200" spc="0" baseline="0">
                      <a:solidFill>
                        <a:sysClr val="windowText" lastClr="000000"/>
                      </a:solidFill>
                      <a:latin typeface="+mn-lt"/>
                      <a:ea typeface="+mn-ea"/>
                      <a:cs typeface="+mn-cs"/>
                    </a:defRPr>
                  </a:pPr>
                  <a:endParaRPr lang="lv-LV"/>
                </a:p>
              </c:txPr>
              <c:dLblPos val="outEnd"/>
              <c:showLegendKey val="0"/>
              <c:showVal val="1"/>
              <c:showCatName val="1"/>
              <c:showSerName val="0"/>
              <c:showPercent val="1"/>
              <c:showBubbleSize val="0"/>
              <c:extLst>
                <c:ext xmlns:c16="http://schemas.microsoft.com/office/drawing/2014/chart" uri="{C3380CC4-5D6E-409C-BE32-E72D297353CC}">
                  <c16:uniqueId val="{0000000B-1FC7-49EB-B726-AAD1B5B01752}"/>
                </c:ext>
              </c:extLst>
            </c:dLbl>
            <c:dLbl>
              <c:idx val="6"/>
              <c:numFmt formatCode="0.00%" sourceLinked="0"/>
              <c:spPr>
                <a:noFill/>
                <a:ln>
                  <a:noFill/>
                </a:ln>
                <a:effectLst/>
              </c:spPr>
              <c:txPr>
                <a:bodyPr rot="0" spcFirstLastPara="1" vertOverflow="ellipsis" vert="horz" wrap="square" lIns="38100" tIns="19050" rIns="38100" bIns="19050" anchor="ctr" anchorCtr="1">
                  <a:spAutoFit/>
                </a:bodyPr>
                <a:lstStyle/>
                <a:p>
                  <a:pPr>
                    <a:defRPr sz="1000" b="1" i="0" u="none" strike="noStrike" kern="1200" spc="0" baseline="0">
                      <a:solidFill>
                        <a:sysClr val="windowText" lastClr="000000"/>
                      </a:solidFill>
                      <a:latin typeface="+mn-lt"/>
                      <a:ea typeface="+mn-ea"/>
                      <a:cs typeface="+mn-cs"/>
                    </a:defRPr>
                  </a:pPr>
                  <a:endParaRPr lang="lv-LV"/>
                </a:p>
              </c:txPr>
              <c:dLblPos val="outEnd"/>
              <c:showLegendKey val="0"/>
              <c:showVal val="1"/>
              <c:showCatName val="1"/>
              <c:showSerName val="0"/>
              <c:showPercent val="1"/>
              <c:showBubbleSize val="0"/>
              <c:extLst>
                <c:ext xmlns:c16="http://schemas.microsoft.com/office/drawing/2014/chart" uri="{C3380CC4-5D6E-409C-BE32-E72D297353CC}">
                  <c16:uniqueId val="{0000000D-1FC7-49EB-B726-AAD1B5B01752}"/>
                </c:ext>
              </c:extLst>
            </c:dLbl>
            <c:dLbl>
              <c:idx val="7"/>
              <c:numFmt formatCode="0.00%" sourceLinked="0"/>
              <c:spPr>
                <a:noFill/>
                <a:ln>
                  <a:noFill/>
                </a:ln>
                <a:effectLst/>
              </c:spPr>
              <c:txPr>
                <a:bodyPr rot="0" spcFirstLastPara="1" vertOverflow="ellipsis" vert="horz" wrap="square" lIns="38100" tIns="19050" rIns="38100" bIns="19050" anchor="ctr" anchorCtr="1">
                  <a:spAutoFit/>
                </a:bodyPr>
                <a:lstStyle/>
                <a:p>
                  <a:pPr>
                    <a:defRPr sz="1000" b="1" i="0" u="none" strike="noStrike" kern="1200" spc="0" baseline="0">
                      <a:solidFill>
                        <a:sysClr val="windowText" lastClr="000000"/>
                      </a:solidFill>
                      <a:latin typeface="+mn-lt"/>
                      <a:ea typeface="+mn-ea"/>
                      <a:cs typeface="+mn-cs"/>
                    </a:defRPr>
                  </a:pPr>
                  <a:endParaRPr lang="lv-LV"/>
                </a:p>
              </c:txPr>
              <c:dLblPos val="outEnd"/>
              <c:showLegendKey val="0"/>
              <c:showVal val="1"/>
              <c:showCatName val="1"/>
              <c:showSerName val="0"/>
              <c:showPercent val="1"/>
              <c:showBubbleSize val="0"/>
              <c:extLst>
                <c:ext xmlns:c16="http://schemas.microsoft.com/office/drawing/2014/chart" uri="{C3380CC4-5D6E-409C-BE32-E72D297353CC}">
                  <c16:uniqueId val="{0000000F-1FC7-49EB-B726-AAD1B5B01752}"/>
                </c:ext>
              </c:extLst>
            </c:dLbl>
            <c:dLbl>
              <c:idx val="8"/>
              <c:numFmt formatCode="0.00%" sourceLinked="0"/>
              <c:spPr>
                <a:noFill/>
                <a:ln>
                  <a:noFill/>
                </a:ln>
                <a:effectLst/>
              </c:spPr>
              <c:txPr>
                <a:bodyPr rot="0" spcFirstLastPara="1" vertOverflow="ellipsis" vert="horz" wrap="square" lIns="38100" tIns="19050" rIns="38100" bIns="19050" anchor="ctr" anchorCtr="1">
                  <a:spAutoFit/>
                </a:bodyPr>
                <a:lstStyle/>
                <a:p>
                  <a:pPr>
                    <a:defRPr sz="1000" b="1" i="0" u="none" strike="noStrike" kern="1200" spc="0" baseline="0">
                      <a:solidFill>
                        <a:sysClr val="windowText" lastClr="000000"/>
                      </a:solidFill>
                      <a:latin typeface="+mn-lt"/>
                      <a:ea typeface="+mn-ea"/>
                      <a:cs typeface="+mn-cs"/>
                    </a:defRPr>
                  </a:pPr>
                  <a:endParaRPr lang="lv-LV"/>
                </a:p>
              </c:txPr>
              <c:dLblPos val="outEnd"/>
              <c:showLegendKey val="0"/>
              <c:showVal val="1"/>
              <c:showCatName val="1"/>
              <c:showSerName val="0"/>
              <c:showPercent val="1"/>
              <c:showBubbleSize val="0"/>
              <c:extLst>
                <c:ext xmlns:c16="http://schemas.microsoft.com/office/drawing/2014/chart" uri="{C3380CC4-5D6E-409C-BE32-E72D297353CC}">
                  <c16:uniqueId val="{00000011-1FC7-49EB-B726-AAD1B5B01752}"/>
                </c:ext>
              </c:extLst>
            </c:dLbl>
            <c:dLbl>
              <c:idx val="9"/>
              <c:numFmt formatCode="0.00%" sourceLinked="0"/>
              <c:spPr>
                <a:noFill/>
                <a:ln>
                  <a:noFill/>
                </a:ln>
                <a:effectLst/>
              </c:spPr>
              <c:txPr>
                <a:bodyPr rot="0" spcFirstLastPara="1" vertOverflow="ellipsis" vert="horz" wrap="square" lIns="38100" tIns="19050" rIns="38100" bIns="19050" anchor="ctr" anchorCtr="1">
                  <a:spAutoFit/>
                </a:bodyPr>
                <a:lstStyle/>
                <a:p>
                  <a:pPr>
                    <a:defRPr sz="1000" b="1" i="0" u="none" strike="noStrike" kern="1200" spc="0" baseline="0">
                      <a:solidFill>
                        <a:sysClr val="windowText" lastClr="000000"/>
                      </a:solidFill>
                      <a:latin typeface="+mn-lt"/>
                      <a:ea typeface="+mn-ea"/>
                      <a:cs typeface="+mn-cs"/>
                    </a:defRPr>
                  </a:pPr>
                  <a:endParaRPr lang="lv-LV"/>
                </a:p>
              </c:txPr>
              <c:dLblPos val="outEnd"/>
              <c:showLegendKey val="0"/>
              <c:showVal val="1"/>
              <c:showCatName val="1"/>
              <c:showSerName val="0"/>
              <c:showPercent val="1"/>
              <c:showBubbleSize val="0"/>
              <c:extLst>
                <c:ext xmlns:c16="http://schemas.microsoft.com/office/drawing/2014/chart" uri="{C3380CC4-5D6E-409C-BE32-E72D297353CC}">
                  <c16:uniqueId val="{00000013-1FC7-49EB-B726-AAD1B5B01752}"/>
                </c:ext>
              </c:extLst>
            </c:dLbl>
            <c:dLbl>
              <c:idx val="10"/>
              <c:numFmt formatCode="0.00%" sourceLinked="0"/>
              <c:spPr>
                <a:noFill/>
                <a:ln>
                  <a:noFill/>
                </a:ln>
                <a:effectLst/>
              </c:spPr>
              <c:txPr>
                <a:bodyPr rot="0" spcFirstLastPara="1" vertOverflow="ellipsis" vert="horz" wrap="square" lIns="38100" tIns="19050" rIns="38100" bIns="19050" anchor="ctr" anchorCtr="1">
                  <a:spAutoFit/>
                </a:bodyPr>
                <a:lstStyle/>
                <a:p>
                  <a:pPr>
                    <a:defRPr sz="1000" b="1" i="0" u="none" strike="noStrike" kern="1200" spc="0" baseline="0">
                      <a:solidFill>
                        <a:sysClr val="windowText" lastClr="000000"/>
                      </a:solidFill>
                      <a:latin typeface="+mn-lt"/>
                      <a:ea typeface="+mn-ea"/>
                      <a:cs typeface="+mn-cs"/>
                    </a:defRPr>
                  </a:pPr>
                  <a:endParaRPr lang="lv-LV"/>
                </a:p>
              </c:txPr>
              <c:dLblPos val="outEnd"/>
              <c:showLegendKey val="0"/>
              <c:showVal val="1"/>
              <c:showCatName val="1"/>
              <c:showSerName val="0"/>
              <c:showPercent val="1"/>
              <c:showBubbleSize val="0"/>
              <c:extLst>
                <c:ext xmlns:c16="http://schemas.microsoft.com/office/drawing/2014/chart" uri="{C3380CC4-5D6E-409C-BE32-E72D297353CC}">
                  <c16:uniqueId val="{00000015-1FC7-49EB-B726-AAD1B5B01752}"/>
                </c:ext>
              </c:extLst>
            </c:dLbl>
            <c:numFmt formatCode="0.00%" sourceLinked="0"/>
            <c:spPr>
              <a:noFill/>
              <a:ln>
                <a:noFill/>
              </a:ln>
              <a:effectLst/>
            </c:spPr>
            <c:txPr>
              <a:bodyPr rot="0" spcFirstLastPara="1" vertOverflow="ellipsis" vert="horz" wrap="square" lIns="38100" tIns="19050" rIns="38100" bIns="19050" anchor="ctr" anchorCtr="1">
                <a:spAutoFit/>
              </a:bodyPr>
              <a:lstStyle/>
              <a:p>
                <a:pPr>
                  <a:defRPr sz="1000" b="1" i="0" u="none" strike="noStrike" kern="1200" spc="0" baseline="0">
                    <a:solidFill>
                      <a:sysClr val="windowText" lastClr="000000"/>
                    </a:solidFill>
                    <a:latin typeface="+mn-lt"/>
                    <a:ea typeface="+mn-ea"/>
                    <a:cs typeface="+mn-cs"/>
                  </a:defRPr>
                </a:pPr>
                <a:endParaRPr lang="lv-LV"/>
              </a:p>
            </c:txPr>
            <c:dLblPos val="outEnd"/>
            <c:showLegendKey val="0"/>
            <c:showVal val="1"/>
            <c:showCatName val="1"/>
            <c:showSerName val="0"/>
            <c:showPercent val="1"/>
            <c:showBubbleSize val="0"/>
            <c:showLeaderLines val="1"/>
            <c:leaderLines>
              <c:spPr>
                <a:ln w="9525">
                  <a:solidFill>
                    <a:schemeClr val="tx1">
                      <a:lumMod val="35000"/>
                      <a:lumOff val="65000"/>
                    </a:schemeClr>
                  </a:solidFill>
                  <a:round/>
                </a:ln>
                <a:effectLst/>
              </c:spPr>
            </c:leaderLines>
            <c:extLst>
              <c:ext xmlns:c15="http://schemas.microsoft.com/office/drawing/2012/chart" uri="{CE6537A1-D6FC-4f65-9D91-7224C49458BB}"/>
            </c:extLst>
          </c:dLbls>
          <c:cat>
            <c:strRef>
              <c:f>Sheet15!$A$25:$A$35</c:f>
              <c:strCache>
                <c:ptCount val="3"/>
                <c:pt idx="0">
                  <c:v>0-14</c:v>
                </c:pt>
                <c:pt idx="1">
                  <c:v>15-65</c:v>
                </c:pt>
                <c:pt idx="2">
                  <c:v>&gt;65</c:v>
                </c:pt>
              </c:strCache>
            </c:strRef>
          </c:cat>
          <c:val>
            <c:numRef>
              <c:f>Sheet15!$B$25:$B$35</c:f>
              <c:numCache>
                <c:formatCode>#,##0</c:formatCode>
                <c:ptCount val="11"/>
                <c:pt idx="0">
                  <c:v>3708</c:v>
                </c:pt>
                <c:pt idx="1">
                  <c:v>19742</c:v>
                </c:pt>
                <c:pt idx="2">
                  <c:v>6234</c:v>
                </c:pt>
              </c:numCache>
            </c:numRef>
          </c:val>
          <c:extLst>
            <c:ext xmlns:c16="http://schemas.microsoft.com/office/drawing/2014/chart" uri="{C3380CC4-5D6E-409C-BE32-E72D297353CC}">
              <c16:uniqueId val="{00000016-1FC7-49EB-B726-AAD1B5B01752}"/>
            </c:ext>
          </c:extLst>
        </c:ser>
        <c:dLbls>
          <c:dLblPos val="outEnd"/>
          <c:showLegendKey val="0"/>
          <c:showVal val="0"/>
          <c:showCatName val="1"/>
          <c:showSerName val="0"/>
          <c:showPercent val="0"/>
          <c:showBubbleSize val="0"/>
          <c:showLeaderLines val="1"/>
        </c:dLbls>
      </c:pie3DChart>
      <c:spPr>
        <a:noFill/>
        <a:ln>
          <a:noFill/>
        </a:ln>
        <a:effectLst/>
      </c:spPr>
    </c:plotArea>
    <c:plotVisOnly val="1"/>
    <c:dispBlanksAs val="gap"/>
    <c:showDLblsOverMax val="0"/>
  </c:chart>
  <c:spPr>
    <a:solidFill>
      <a:schemeClr val="bg1"/>
    </a:solidFill>
    <a:ln w="9525">
      <a:solidFill>
        <a:schemeClr val="tx1">
          <a:lumMod val="15000"/>
          <a:lumOff val="85000"/>
        </a:schemeClr>
      </a:solidFill>
      <a:round/>
    </a:ln>
    <a:effectLst/>
  </c:spPr>
  <c:txPr>
    <a:bodyPr/>
    <a:lstStyle/>
    <a:p>
      <a:pPr>
        <a:defRPr/>
      </a:pPr>
      <a:endParaRPr lang="lv-LV"/>
    </a:p>
  </c:txPr>
  <c:externalData r:id="rId1">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c:date1904 val="0"/>
  <c:lang val="lv-LV"/>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col"/>
        <c:grouping val="clustered"/>
        <c:varyColors val="0"/>
        <c:ser>
          <c:idx val="0"/>
          <c:order val="0"/>
          <c:spPr>
            <a:solidFill>
              <a:schemeClr val="accent1"/>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chemeClr val="tx1">
                        <a:lumMod val="75000"/>
                        <a:lumOff val="25000"/>
                      </a:schemeClr>
                    </a:solidFill>
                    <a:latin typeface="+mn-lt"/>
                    <a:ea typeface="+mn-ea"/>
                    <a:cs typeface="+mn-cs"/>
                  </a:defRPr>
                </a:pPr>
                <a:endParaRPr lang="lv-LV"/>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a:solidFill>
                        <a:schemeClr val="tx1">
                          <a:lumMod val="35000"/>
                          <a:lumOff val="65000"/>
                        </a:schemeClr>
                      </a:solidFill>
                      <a:round/>
                    </a:ln>
                    <a:effectLst/>
                  </c:spPr>
                </c15:leaderLines>
              </c:ext>
            </c:extLst>
          </c:dLbls>
          <c:cat>
            <c:numRef>
              <c:f>Sheet3!$A$34:$A$38</c:f>
              <c:numCache>
                <c:formatCode>General</c:formatCode>
                <c:ptCount val="5"/>
                <c:pt idx="0">
                  <c:v>2020</c:v>
                </c:pt>
                <c:pt idx="1">
                  <c:v>2021</c:v>
                </c:pt>
                <c:pt idx="2">
                  <c:v>2022</c:v>
                </c:pt>
                <c:pt idx="3">
                  <c:v>2023</c:v>
                </c:pt>
                <c:pt idx="4">
                  <c:v>2024</c:v>
                </c:pt>
              </c:numCache>
            </c:numRef>
          </c:cat>
          <c:val>
            <c:numRef>
              <c:f>Sheet3!$B$34:$B$38</c:f>
              <c:numCache>
                <c:formatCode>General</c:formatCode>
                <c:ptCount val="5"/>
                <c:pt idx="0">
                  <c:v>13.7</c:v>
                </c:pt>
                <c:pt idx="1">
                  <c:v>13.5</c:v>
                </c:pt>
                <c:pt idx="2">
                  <c:v>13</c:v>
                </c:pt>
                <c:pt idx="3">
                  <c:v>12.8</c:v>
                </c:pt>
                <c:pt idx="4">
                  <c:v>11</c:v>
                </c:pt>
              </c:numCache>
            </c:numRef>
          </c:val>
          <c:extLst>
            <c:ext xmlns:c16="http://schemas.microsoft.com/office/drawing/2014/chart" uri="{C3380CC4-5D6E-409C-BE32-E72D297353CC}">
              <c16:uniqueId val="{00000000-1F85-476C-8B8F-B11525698885}"/>
            </c:ext>
          </c:extLst>
        </c:ser>
        <c:dLbls>
          <c:dLblPos val="outEnd"/>
          <c:showLegendKey val="0"/>
          <c:showVal val="1"/>
          <c:showCatName val="0"/>
          <c:showSerName val="0"/>
          <c:showPercent val="0"/>
          <c:showBubbleSize val="0"/>
        </c:dLbls>
        <c:gapWidth val="219"/>
        <c:overlap val="-27"/>
        <c:axId val="335063920"/>
        <c:axId val="335070760"/>
      </c:barChart>
      <c:catAx>
        <c:axId val="335063920"/>
        <c:scaling>
          <c:orientation val="minMax"/>
        </c:scaling>
        <c:delete val="0"/>
        <c:axPos val="b"/>
        <c:numFmt formatCode="General" sourceLinked="1"/>
        <c:majorTickMark val="none"/>
        <c:minorTickMark val="none"/>
        <c:tickLblPos val="nextTo"/>
        <c:spPr>
          <a:noFill/>
          <a:ln w="9525">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lv-LV"/>
          </a:p>
        </c:txPr>
        <c:crossAx val="335070760"/>
        <c:crosses val="autoZero"/>
        <c:auto val="1"/>
        <c:lblAlgn val="ctr"/>
        <c:lblOffset val="100"/>
        <c:noMultiLvlLbl val="0"/>
      </c:catAx>
      <c:valAx>
        <c:axId val="335070760"/>
        <c:scaling>
          <c:orientation val="minMax"/>
        </c:scaling>
        <c:delete val="0"/>
        <c:axPos val="l"/>
        <c:majorGridlines>
          <c:spPr>
            <a:ln w="9525">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lv-LV"/>
          </a:p>
        </c:txPr>
        <c:crossAx val="335063920"/>
        <c:crosses val="autoZero"/>
        <c:crossBetween val="between"/>
      </c:valAx>
      <c:spPr>
        <a:noFill/>
        <a:ln>
          <a:noFill/>
        </a:ln>
        <a:effectLst/>
      </c:spPr>
    </c:plotArea>
    <c:plotVisOnly val="1"/>
    <c:dispBlanksAs val="gap"/>
    <c:showDLblsOverMax val="0"/>
  </c:chart>
  <c:spPr>
    <a:solidFill>
      <a:schemeClr val="bg1"/>
    </a:solidFill>
    <a:ln w="9525">
      <a:solidFill>
        <a:schemeClr val="tx1">
          <a:lumMod val="15000"/>
          <a:lumOff val="85000"/>
        </a:schemeClr>
      </a:solidFill>
      <a:round/>
    </a:ln>
    <a:effectLst/>
  </c:spPr>
  <c:txPr>
    <a:bodyPr/>
    <a:lstStyle/>
    <a:p>
      <a:pPr>
        <a:defRPr/>
      </a:pPr>
      <a:endParaRPr lang="lv-LV"/>
    </a:p>
  </c:txPr>
  <c:externalData r:id="rId1">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c:date1904 val="0"/>
  <c:lang val="lv-LV"/>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view3D>
      <c:rotX val="30"/>
      <c:rotY val="0"/>
      <c:rAngAx val="0"/>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pie3DChart>
        <c:varyColors val="1"/>
        <c:ser>
          <c:idx val="0"/>
          <c:order val="0"/>
          <c:dPt>
            <c:idx val="0"/>
            <c:bubble3D val="0"/>
            <c:spPr>
              <a:solidFill>
                <a:schemeClr val="accent1"/>
              </a:solidFill>
              <a:ln>
                <a:noFill/>
              </a:ln>
              <a:effectLst>
                <a:outerShdw blurRad="88900" dist="0" dir="0" sx="102000" sy="102000" kx="0" ky="0" algn="ctr" rotWithShape="0">
                  <a:prstClr val="black">
                    <a:alpha val="10000"/>
                  </a:prstClr>
                </a:outerShdw>
              </a:effectLst>
              <a:scene3d>
                <a:camera prst="orthographicFront"/>
                <a:lightRig rig="threePt" dir="t"/>
              </a:scene3d>
              <a:sp3d>
                <a:bevelT w="127000" h="127000" prst="circle"/>
                <a:bevelB w="127000" h="127000" prst="circle"/>
              </a:sp3d>
            </c:spPr>
            <c:extLst>
              <c:ext xmlns:c16="http://schemas.microsoft.com/office/drawing/2014/chart" uri="{C3380CC4-5D6E-409C-BE32-E72D297353CC}">
                <c16:uniqueId val="{00000001-E60D-48FD-8ABB-DDE9B20A2619}"/>
              </c:ext>
            </c:extLst>
          </c:dPt>
          <c:dPt>
            <c:idx val="1"/>
            <c:bubble3D val="0"/>
            <c:spPr>
              <a:solidFill>
                <a:schemeClr val="accent2"/>
              </a:solidFill>
              <a:ln>
                <a:noFill/>
              </a:ln>
              <a:effectLst>
                <a:outerShdw blurRad="88900" dist="0" dir="0" sx="102000" sy="102000" kx="0" ky="0" algn="ctr" rotWithShape="0">
                  <a:prstClr val="black">
                    <a:alpha val="10000"/>
                  </a:prstClr>
                </a:outerShdw>
              </a:effectLst>
              <a:scene3d>
                <a:camera prst="orthographicFront"/>
                <a:lightRig rig="threePt" dir="t"/>
              </a:scene3d>
              <a:sp3d>
                <a:bevelT w="127000" h="127000" prst="circle"/>
                <a:bevelB w="127000" h="127000" prst="circle"/>
              </a:sp3d>
            </c:spPr>
            <c:extLst>
              <c:ext xmlns:c16="http://schemas.microsoft.com/office/drawing/2014/chart" uri="{C3380CC4-5D6E-409C-BE32-E72D297353CC}">
                <c16:uniqueId val="{00000003-E60D-48FD-8ABB-DDE9B20A2619}"/>
              </c:ext>
            </c:extLst>
          </c:dPt>
          <c:dPt>
            <c:idx val="2"/>
            <c:bubble3D val="0"/>
            <c:spPr>
              <a:solidFill>
                <a:schemeClr val="accent3"/>
              </a:solidFill>
              <a:ln>
                <a:noFill/>
              </a:ln>
              <a:effectLst>
                <a:outerShdw blurRad="88900" dist="0" dir="0" sx="102000" sy="102000" kx="0" ky="0" algn="ctr" rotWithShape="0">
                  <a:prstClr val="black">
                    <a:alpha val="10000"/>
                  </a:prstClr>
                </a:outerShdw>
              </a:effectLst>
              <a:scene3d>
                <a:camera prst="orthographicFront"/>
                <a:lightRig rig="threePt" dir="t"/>
              </a:scene3d>
              <a:sp3d>
                <a:bevelT w="127000" h="127000" prst="circle"/>
                <a:bevelB w="127000" h="127000" prst="circle"/>
              </a:sp3d>
            </c:spPr>
            <c:extLst>
              <c:ext xmlns:c16="http://schemas.microsoft.com/office/drawing/2014/chart" uri="{C3380CC4-5D6E-409C-BE32-E72D297353CC}">
                <c16:uniqueId val="{00000005-E60D-48FD-8ABB-DDE9B20A2619}"/>
              </c:ext>
            </c:extLst>
          </c:dPt>
          <c:dPt>
            <c:idx val="3"/>
            <c:bubble3D val="0"/>
            <c:spPr>
              <a:solidFill>
                <a:schemeClr val="accent4"/>
              </a:solidFill>
              <a:ln>
                <a:noFill/>
              </a:ln>
              <a:effectLst>
                <a:outerShdw blurRad="88900" dist="0" dir="0" sx="102000" sy="102000" kx="0" ky="0" algn="ctr" rotWithShape="0">
                  <a:prstClr val="black">
                    <a:alpha val="10000"/>
                  </a:prstClr>
                </a:outerShdw>
              </a:effectLst>
              <a:scene3d>
                <a:camera prst="orthographicFront"/>
                <a:lightRig rig="threePt" dir="t"/>
              </a:scene3d>
              <a:sp3d>
                <a:bevelT w="127000" h="127000" prst="circle"/>
                <a:bevelB w="127000" h="127000" prst="circle"/>
              </a:sp3d>
            </c:spPr>
            <c:extLst>
              <c:ext xmlns:c16="http://schemas.microsoft.com/office/drawing/2014/chart" uri="{C3380CC4-5D6E-409C-BE32-E72D297353CC}">
                <c16:uniqueId val="{00000007-E60D-48FD-8ABB-DDE9B20A2619}"/>
              </c:ext>
            </c:extLst>
          </c:dPt>
          <c:dPt>
            <c:idx val="4"/>
            <c:bubble3D val="0"/>
            <c:spPr>
              <a:solidFill>
                <a:schemeClr val="accent5"/>
              </a:solidFill>
              <a:ln>
                <a:noFill/>
              </a:ln>
              <a:effectLst>
                <a:outerShdw blurRad="88900" dist="0" dir="0" sx="102000" sy="102000" kx="0" ky="0" algn="ctr" rotWithShape="0">
                  <a:prstClr val="black">
                    <a:alpha val="10000"/>
                  </a:prstClr>
                </a:outerShdw>
              </a:effectLst>
              <a:scene3d>
                <a:camera prst="orthographicFront"/>
                <a:lightRig rig="threePt" dir="t"/>
              </a:scene3d>
              <a:sp3d>
                <a:bevelT w="127000" h="127000" prst="circle"/>
                <a:bevelB w="127000" h="127000" prst="circle"/>
              </a:sp3d>
            </c:spPr>
            <c:extLst>
              <c:ext xmlns:c16="http://schemas.microsoft.com/office/drawing/2014/chart" uri="{C3380CC4-5D6E-409C-BE32-E72D297353CC}">
                <c16:uniqueId val="{00000009-E60D-48FD-8ABB-DDE9B20A2619}"/>
              </c:ext>
            </c:extLst>
          </c:dPt>
          <c:dPt>
            <c:idx val="5"/>
            <c:bubble3D val="0"/>
            <c:spPr>
              <a:solidFill>
                <a:schemeClr val="accent6"/>
              </a:solidFill>
              <a:ln>
                <a:noFill/>
              </a:ln>
              <a:effectLst>
                <a:outerShdw blurRad="88900" dist="0" dir="0" sx="102000" sy="102000" kx="0" ky="0" algn="ctr" rotWithShape="0">
                  <a:prstClr val="black">
                    <a:alpha val="10000"/>
                  </a:prstClr>
                </a:outerShdw>
              </a:effectLst>
              <a:scene3d>
                <a:camera prst="orthographicFront"/>
                <a:lightRig rig="threePt" dir="t"/>
              </a:scene3d>
              <a:sp3d>
                <a:bevelT w="127000" h="127000" prst="circle"/>
                <a:bevelB w="127000" h="127000" prst="circle"/>
              </a:sp3d>
            </c:spPr>
            <c:extLst>
              <c:ext xmlns:c16="http://schemas.microsoft.com/office/drawing/2014/chart" uri="{C3380CC4-5D6E-409C-BE32-E72D297353CC}">
                <c16:uniqueId val="{0000000B-E60D-48FD-8ABB-DDE9B20A2619}"/>
              </c:ext>
            </c:extLst>
          </c:dPt>
          <c:dPt>
            <c:idx val="6"/>
            <c:bubble3D val="0"/>
            <c:spPr>
              <a:solidFill>
                <a:schemeClr val="accent1">
                  <a:lumMod val="60000"/>
                </a:schemeClr>
              </a:solidFill>
              <a:ln>
                <a:noFill/>
              </a:ln>
              <a:effectLst>
                <a:outerShdw blurRad="88900" dist="0" dir="0" sx="102000" sy="102000" kx="0" ky="0" algn="ctr" rotWithShape="0">
                  <a:prstClr val="black">
                    <a:alpha val="10000"/>
                  </a:prstClr>
                </a:outerShdw>
              </a:effectLst>
              <a:scene3d>
                <a:camera prst="orthographicFront"/>
                <a:lightRig rig="threePt" dir="t"/>
              </a:scene3d>
              <a:sp3d>
                <a:bevelT w="127000" h="127000" prst="circle"/>
                <a:bevelB w="127000" h="127000" prst="circle"/>
              </a:sp3d>
            </c:spPr>
            <c:extLst>
              <c:ext xmlns:c16="http://schemas.microsoft.com/office/drawing/2014/chart" uri="{C3380CC4-5D6E-409C-BE32-E72D297353CC}">
                <c16:uniqueId val="{0000000D-E60D-48FD-8ABB-DDE9B20A2619}"/>
              </c:ext>
            </c:extLst>
          </c:dPt>
          <c:dPt>
            <c:idx val="7"/>
            <c:bubble3D val="0"/>
            <c:spPr>
              <a:solidFill>
                <a:schemeClr val="accent2">
                  <a:lumMod val="60000"/>
                </a:schemeClr>
              </a:solidFill>
              <a:ln>
                <a:noFill/>
              </a:ln>
              <a:effectLst>
                <a:outerShdw blurRad="88900" dist="0" dir="0" sx="102000" sy="102000" kx="0" ky="0" algn="ctr" rotWithShape="0">
                  <a:prstClr val="black">
                    <a:alpha val="10000"/>
                  </a:prstClr>
                </a:outerShdw>
              </a:effectLst>
              <a:scene3d>
                <a:camera prst="orthographicFront"/>
                <a:lightRig rig="threePt" dir="t"/>
              </a:scene3d>
              <a:sp3d>
                <a:bevelT w="127000" h="127000" prst="circle"/>
                <a:bevelB w="127000" h="127000" prst="circle"/>
              </a:sp3d>
            </c:spPr>
            <c:extLst>
              <c:ext xmlns:c16="http://schemas.microsoft.com/office/drawing/2014/chart" uri="{C3380CC4-5D6E-409C-BE32-E72D297353CC}">
                <c16:uniqueId val="{0000000F-E60D-48FD-8ABB-DDE9B20A2619}"/>
              </c:ext>
            </c:extLst>
          </c:dPt>
          <c:dPt>
            <c:idx val="8"/>
            <c:bubble3D val="0"/>
            <c:spPr>
              <a:solidFill>
                <a:schemeClr val="accent3">
                  <a:lumMod val="60000"/>
                </a:schemeClr>
              </a:solidFill>
              <a:ln>
                <a:noFill/>
              </a:ln>
              <a:effectLst>
                <a:outerShdw blurRad="88900" dist="0" dir="0" sx="102000" sy="102000" kx="0" ky="0" algn="ctr" rotWithShape="0">
                  <a:prstClr val="black">
                    <a:alpha val="10000"/>
                  </a:prstClr>
                </a:outerShdw>
              </a:effectLst>
              <a:scene3d>
                <a:camera prst="orthographicFront"/>
                <a:lightRig rig="threePt" dir="t"/>
              </a:scene3d>
              <a:sp3d>
                <a:bevelT w="127000" h="127000" prst="circle"/>
                <a:bevelB w="127000" h="127000" prst="circle"/>
              </a:sp3d>
            </c:spPr>
            <c:extLst>
              <c:ext xmlns:c16="http://schemas.microsoft.com/office/drawing/2014/chart" uri="{C3380CC4-5D6E-409C-BE32-E72D297353CC}">
                <c16:uniqueId val="{00000011-E60D-48FD-8ABB-DDE9B20A2619}"/>
              </c:ext>
            </c:extLst>
          </c:dPt>
          <c:dPt>
            <c:idx val="9"/>
            <c:bubble3D val="0"/>
            <c:spPr>
              <a:solidFill>
                <a:schemeClr val="accent4">
                  <a:lumMod val="60000"/>
                </a:schemeClr>
              </a:solidFill>
              <a:ln>
                <a:noFill/>
              </a:ln>
              <a:effectLst>
                <a:outerShdw blurRad="88900" dist="0" dir="0" sx="102000" sy="102000" kx="0" ky="0" algn="ctr" rotWithShape="0">
                  <a:prstClr val="black">
                    <a:alpha val="10000"/>
                  </a:prstClr>
                </a:outerShdw>
              </a:effectLst>
              <a:scene3d>
                <a:camera prst="orthographicFront"/>
                <a:lightRig rig="threePt" dir="t"/>
              </a:scene3d>
              <a:sp3d>
                <a:bevelT w="127000" h="127000" prst="circle"/>
                <a:bevelB w="127000" h="127000" prst="circle"/>
              </a:sp3d>
            </c:spPr>
            <c:extLst>
              <c:ext xmlns:c16="http://schemas.microsoft.com/office/drawing/2014/chart" uri="{C3380CC4-5D6E-409C-BE32-E72D297353CC}">
                <c16:uniqueId val="{00000013-E60D-48FD-8ABB-DDE9B20A2619}"/>
              </c:ext>
            </c:extLst>
          </c:dPt>
          <c:dPt>
            <c:idx val="10"/>
            <c:bubble3D val="0"/>
            <c:spPr>
              <a:solidFill>
                <a:schemeClr val="accent5">
                  <a:lumMod val="60000"/>
                </a:schemeClr>
              </a:solidFill>
              <a:ln>
                <a:noFill/>
              </a:ln>
              <a:effectLst>
                <a:outerShdw blurRad="88900" dist="0" dir="0" sx="102000" sy="102000" kx="0" ky="0" algn="ctr" rotWithShape="0">
                  <a:prstClr val="black">
                    <a:alpha val="10000"/>
                  </a:prstClr>
                </a:outerShdw>
              </a:effectLst>
              <a:scene3d>
                <a:camera prst="orthographicFront"/>
                <a:lightRig rig="threePt" dir="t"/>
              </a:scene3d>
              <a:sp3d>
                <a:bevelT w="127000" h="127000" prst="circle"/>
                <a:bevelB w="127000" h="127000" prst="circle"/>
              </a:sp3d>
            </c:spPr>
            <c:extLst>
              <c:ext xmlns:c16="http://schemas.microsoft.com/office/drawing/2014/chart" uri="{C3380CC4-5D6E-409C-BE32-E72D297353CC}">
                <c16:uniqueId val="{00000015-E60D-48FD-8ABB-DDE9B20A2619}"/>
              </c:ext>
            </c:extLst>
          </c:dPt>
          <c:dPt>
            <c:idx val="11"/>
            <c:bubble3D val="0"/>
            <c:spPr>
              <a:solidFill>
                <a:schemeClr val="accent6">
                  <a:lumMod val="60000"/>
                </a:schemeClr>
              </a:solidFill>
              <a:ln>
                <a:noFill/>
              </a:ln>
              <a:effectLst>
                <a:outerShdw blurRad="88900" dist="0" dir="0" sx="102000" sy="102000" kx="0" ky="0" algn="ctr" rotWithShape="0">
                  <a:prstClr val="black">
                    <a:alpha val="10000"/>
                  </a:prstClr>
                </a:outerShdw>
              </a:effectLst>
              <a:scene3d>
                <a:camera prst="orthographicFront"/>
                <a:lightRig rig="threePt" dir="t"/>
              </a:scene3d>
              <a:sp3d>
                <a:bevelT w="127000" h="127000" prst="circle"/>
                <a:bevelB w="127000" h="127000" prst="circle"/>
              </a:sp3d>
            </c:spPr>
            <c:extLst>
              <c:ext xmlns:c16="http://schemas.microsoft.com/office/drawing/2014/chart" uri="{C3380CC4-5D6E-409C-BE32-E72D297353CC}">
                <c16:uniqueId val="{00000017-E60D-48FD-8ABB-DDE9B20A2619}"/>
              </c:ext>
            </c:extLst>
          </c:dPt>
          <c:dLbls>
            <c:dLbl>
              <c:idx val="0"/>
              <c:layout>
                <c:manualLayout>
                  <c:x val="-0.077380952380952384"/>
                  <c:y val="-0.0083769605880494417"/>
                </c:manualLayout>
              </c:layout>
              <c:numFmt formatCode="0.00%" sourceLinked="0"/>
              <c:spPr>
                <a:noFill/>
                <a:ln>
                  <a:noFill/>
                </a:ln>
                <a:effectLst/>
              </c:spPr>
              <c:txPr>
                <a:bodyPr rot="0" spcFirstLastPara="1" vertOverflow="ellipsis" vert="horz" wrap="square" lIns="38100" tIns="19050" rIns="38100" bIns="19050" anchor="ctr" anchorCtr="1">
                  <a:spAutoFit/>
                </a:bodyPr>
                <a:lstStyle/>
                <a:p>
                  <a:pPr>
                    <a:defRPr sz="1000" b="1" i="0" u="none" strike="noStrike" kern="1200" spc="0" baseline="0">
                      <a:solidFill>
                        <a:sysClr val="windowText" lastClr="000000"/>
                      </a:solidFill>
                      <a:latin typeface="+mn-lt"/>
                      <a:ea typeface="+mn-ea"/>
                      <a:cs typeface="+mn-cs"/>
                    </a:defRPr>
                  </a:pPr>
                  <a:endParaRPr lang="lv-LV"/>
                </a:p>
              </c:txPr>
              <c:dLblPos val="bestFit"/>
              <c:showLegendKey val="0"/>
              <c:showVal val="1"/>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01-E60D-48FD-8ABB-DDE9B20A2619}"/>
                </c:ext>
              </c:extLst>
            </c:dLbl>
            <c:dLbl>
              <c:idx val="1"/>
              <c:layout>
                <c:manualLayout>
                  <c:x val="0.10119047619047604"/>
                  <c:y val="-0.099409677126434282"/>
                </c:manualLayout>
              </c:layout>
              <c:numFmt formatCode="0.00%" sourceLinked="0"/>
              <c:spPr>
                <a:noFill/>
                <a:ln>
                  <a:noFill/>
                </a:ln>
                <a:effectLst/>
              </c:spPr>
              <c:txPr>
                <a:bodyPr rot="0" spcFirstLastPara="1" vertOverflow="ellipsis" vert="horz" wrap="square" lIns="38100" tIns="19050" rIns="38100" bIns="19050" anchor="ctr" anchorCtr="1">
                  <a:spAutoFit/>
                </a:bodyPr>
                <a:lstStyle/>
                <a:p>
                  <a:pPr>
                    <a:defRPr sz="1000" b="1" i="0" u="none" strike="noStrike" kern="1200" spc="0" baseline="0">
                      <a:solidFill>
                        <a:sysClr val="windowText" lastClr="000000"/>
                      </a:solidFill>
                      <a:latin typeface="+mn-lt"/>
                      <a:ea typeface="+mn-ea"/>
                      <a:cs typeface="+mn-cs"/>
                    </a:defRPr>
                  </a:pPr>
                  <a:endParaRPr lang="lv-LV"/>
                </a:p>
              </c:txPr>
              <c:dLblPos val="bestFit"/>
              <c:showLegendKey val="0"/>
              <c:showVal val="1"/>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03-E60D-48FD-8ABB-DDE9B20A2619}"/>
                </c:ext>
              </c:extLst>
            </c:dLbl>
            <c:dLbl>
              <c:idx val="2"/>
              <c:layout>
                <c:manualLayout>
                  <c:x val="0.073412698412698416"/>
                  <c:y val="0.020187155810807336"/>
                </c:manualLayout>
              </c:layout>
              <c:numFmt formatCode="0.00%" sourceLinked="0"/>
              <c:spPr>
                <a:noFill/>
                <a:ln>
                  <a:noFill/>
                </a:ln>
                <a:effectLst/>
              </c:spPr>
              <c:txPr>
                <a:bodyPr rot="0" spcFirstLastPara="1" vertOverflow="ellipsis" vert="horz" wrap="square" lIns="38100" tIns="19050" rIns="38100" bIns="19050" anchor="ctr" anchorCtr="1">
                  <a:spAutoFit/>
                </a:bodyPr>
                <a:lstStyle/>
                <a:p>
                  <a:pPr>
                    <a:defRPr sz="1000" b="1" i="0" u="none" strike="noStrike" kern="1200" spc="0" baseline="0">
                      <a:solidFill>
                        <a:sysClr val="windowText" lastClr="000000"/>
                      </a:solidFill>
                      <a:latin typeface="+mn-lt"/>
                      <a:ea typeface="+mn-ea"/>
                      <a:cs typeface="+mn-cs"/>
                    </a:defRPr>
                  </a:pPr>
                  <a:endParaRPr lang="lv-LV"/>
                </a:p>
              </c:txPr>
              <c:dLblPos val="bestFit"/>
              <c:showLegendKey val="0"/>
              <c:showVal val="1"/>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05-E60D-48FD-8ABB-DDE9B20A2619}"/>
                </c:ext>
              </c:extLst>
            </c:dLbl>
            <c:dLbl>
              <c:idx val="3"/>
              <c:layout>
                <c:manualLayout>
                  <c:x val="-0.083333333333333329"/>
                  <c:y val="0.010833542757348035"/>
                </c:manualLayout>
              </c:layout>
              <c:numFmt formatCode="0.00%" sourceLinked="0"/>
              <c:spPr>
                <a:noFill/>
                <a:ln>
                  <a:noFill/>
                </a:ln>
                <a:effectLst/>
              </c:spPr>
              <c:txPr>
                <a:bodyPr rot="0" spcFirstLastPara="1" vertOverflow="ellipsis" vert="horz" wrap="square" lIns="38100" tIns="19050" rIns="38100" bIns="19050" anchor="ctr" anchorCtr="1">
                  <a:spAutoFit/>
                </a:bodyPr>
                <a:lstStyle/>
                <a:p>
                  <a:pPr>
                    <a:defRPr sz="1000" b="1" i="0" u="none" strike="noStrike" kern="1200" spc="0" baseline="0">
                      <a:solidFill>
                        <a:sysClr val="windowText" lastClr="000000"/>
                      </a:solidFill>
                      <a:latin typeface="+mn-lt"/>
                      <a:ea typeface="+mn-ea"/>
                      <a:cs typeface="+mn-cs"/>
                    </a:defRPr>
                  </a:pPr>
                  <a:endParaRPr lang="lv-LV"/>
                </a:p>
              </c:txPr>
              <c:dLblPos val="bestFit"/>
              <c:showLegendKey val="0"/>
              <c:showVal val="1"/>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07-E60D-48FD-8ABB-DDE9B20A2619}"/>
                </c:ext>
              </c:extLst>
            </c:dLbl>
            <c:dLbl>
              <c:idx val="4"/>
              <c:layout>
                <c:manualLayout>
                  <c:x val="-1.4550096466308564E-16"/>
                  <c:y val="0.15916225117293939"/>
                </c:manualLayout>
              </c:layout>
              <c:numFmt formatCode="0.00%" sourceLinked="0"/>
              <c:spPr>
                <a:noFill/>
                <a:ln>
                  <a:noFill/>
                </a:ln>
                <a:effectLst/>
              </c:spPr>
              <c:txPr>
                <a:bodyPr rot="0" spcFirstLastPara="1" vertOverflow="ellipsis" vert="horz" wrap="square" lIns="38100" tIns="19050" rIns="38100" bIns="19050" anchor="ctr" anchorCtr="1">
                  <a:spAutoFit/>
                </a:bodyPr>
                <a:lstStyle/>
                <a:p>
                  <a:pPr>
                    <a:defRPr sz="1000" b="1" i="0" u="none" strike="noStrike" kern="1200" spc="0" baseline="0">
                      <a:solidFill>
                        <a:sysClr val="windowText" lastClr="000000"/>
                      </a:solidFill>
                      <a:latin typeface="+mn-lt"/>
                      <a:ea typeface="+mn-ea"/>
                      <a:cs typeface="+mn-cs"/>
                    </a:defRPr>
                  </a:pPr>
                  <a:endParaRPr lang="lv-LV"/>
                </a:p>
              </c:txPr>
              <c:dLblPos val="bestFit"/>
              <c:showLegendKey val="0"/>
              <c:showVal val="1"/>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09-E60D-48FD-8ABB-DDE9B20A2619}"/>
                </c:ext>
              </c:extLst>
            </c:dLbl>
            <c:dLbl>
              <c:idx val="5"/>
              <c:layout>
                <c:manualLayout>
                  <c:x val="-0.13492063492063491"/>
                  <c:y val="-0.17674133594712088"/>
                </c:manualLayout>
              </c:layout>
              <c:numFmt formatCode="0.00%" sourceLinked="0"/>
              <c:spPr>
                <a:noFill/>
                <a:ln>
                  <a:noFill/>
                </a:ln>
                <a:effectLst/>
              </c:spPr>
              <c:txPr>
                <a:bodyPr rot="0" spcFirstLastPara="1" vertOverflow="ellipsis" vert="horz" wrap="square" lIns="38100" tIns="19050" rIns="38100" bIns="19050" anchor="ctr" anchorCtr="1">
                  <a:spAutoFit/>
                </a:bodyPr>
                <a:lstStyle/>
                <a:p>
                  <a:pPr>
                    <a:defRPr sz="1000" b="1" i="0" u="none" strike="noStrike" kern="1200" spc="0" baseline="0">
                      <a:solidFill>
                        <a:sysClr val="windowText" lastClr="000000"/>
                      </a:solidFill>
                      <a:latin typeface="+mn-lt"/>
                      <a:ea typeface="+mn-ea"/>
                      <a:cs typeface="+mn-cs"/>
                    </a:defRPr>
                  </a:pPr>
                  <a:endParaRPr lang="lv-LV"/>
                </a:p>
              </c:txPr>
              <c:dLblPos val="bestFit"/>
              <c:showLegendKey val="0"/>
              <c:showVal val="1"/>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0B-E60D-48FD-8ABB-DDE9B20A2619}"/>
                </c:ext>
              </c:extLst>
            </c:dLbl>
            <c:dLbl>
              <c:idx val="6"/>
              <c:layout>
                <c:manualLayout>
                  <c:x val="-0.0079365079365079361"/>
                  <c:y val="0.20942401470123603"/>
                </c:manualLayout>
              </c:layout>
              <c:numFmt formatCode="0.00%" sourceLinked="0"/>
              <c:spPr>
                <a:noFill/>
                <a:ln>
                  <a:noFill/>
                </a:ln>
                <a:effectLst/>
              </c:spPr>
              <c:txPr>
                <a:bodyPr rot="0" spcFirstLastPara="1" vertOverflow="ellipsis" vert="horz" wrap="square" lIns="38100" tIns="19050" rIns="38100" bIns="19050" anchor="ctr" anchorCtr="1">
                  <a:spAutoFit/>
                </a:bodyPr>
                <a:lstStyle/>
                <a:p>
                  <a:pPr>
                    <a:defRPr sz="1000" b="1" i="0" u="none" strike="noStrike" kern="1200" spc="0" baseline="0">
                      <a:solidFill>
                        <a:sysClr val="windowText" lastClr="000000"/>
                      </a:solidFill>
                      <a:latin typeface="+mn-lt"/>
                      <a:ea typeface="+mn-ea"/>
                      <a:cs typeface="+mn-cs"/>
                    </a:defRPr>
                  </a:pPr>
                  <a:endParaRPr lang="lv-LV"/>
                </a:p>
              </c:txPr>
              <c:dLblPos val="bestFit"/>
              <c:showLegendKey val="0"/>
              <c:showVal val="1"/>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0D-E60D-48FD-8ABB-DDE9B20A2619}"/>
                </c:ext>
              </c:extLst>
            </c:dLbl>
            <c:dLbl>
              <c:idx val="7"/>
              <c:layout>
                <c:manualLayout>
                  <c:x val="-0.065476190476190479"/>
                  <c:y val="0.047469443332280169"/>
                </c:manualLayout>
              </c:layout>
              <c:numFmt formatCode="0.00%" sourceLinked="0"/>
              <c:spPr>
                <a:noFill/>
                <a:ln>
                  <a:noFill/>
                </a:ln>
                <a:effectLst/>
              </c:spPr>
              <c:txPr>
                <a:bodyPr rot="0" spcFirstLastPara="1" vertOverflow="ellipsis" vert="horz" wrap="square" lIns="38100" tIns="19050" rIns="38100" bIns="19050" anchor="ctr" anchorCtr="1">
                  <a:spAutoFit/>
                </a:bodyPr>
                <a:lstStyle/>
                <a:p>
                  <a:pPr>
                    <a:defRPr sz="1000" b="1" i="0" u="none" strike="noStrike" kern="1200" spc="0" baseline="0">
                      <a:solidFill>
                        <a:sysClr val="windowText" lastClr="000000"/>
                      </a:solidFill>
                      <a:latin typeface="+mn-lt"/>
                      <a:ea typeface="+mn-ea"/>
                      <a:cs typeface="+mn-cs"/>
                    </a:defRPr>
                  </a:pPr>
                  <a:endParaRPr lang="lv-LV"/>
                </a:p>
              </c:txPr>
              <c:dLblPos val="bestFit"/>
              <c:showLegendKey val="0"/>
              <c:showVal val="1"/>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0F-E60D-48FD-8ABB-DDE9B20A2619}"/>
                </c:ext>
              </c:extLst>
            </c:dLbl>
            <c:dLbl>
              <c:idx val="8"/>
              <c:layout>
                <c:manualLayout>
                  <c:x val="0.24007936507936509"/>
                  <c:y val="-0.17033153195700532"/>
                </c:manualLayout>
              </c:layout>
              <c:numFmt formatCode="0.00%" sourceLinked="0"/>
              <c:spPr>
                <a:noFill/>
                <a:ln>
                  <a:noFill/>
                </a:ln>
                <a:effectLst/>
              </c:spPr>
              <c:txPr>
                <a:bodyPr rot="0" spcFirstLastPara="1" vertOverflow="ellipsis" vert="horz" wrap="square" lIns="38100" tIns="19050" rIns="38100" bIns="19050" anchor="ctr" anchorCtr="1">
                  <a:spAutoFit/>
                </a:bodyPr>
                <a:lstStyle/>
                <a:p>
                  <a:pPr>
                    <a:defRPr sz="1000" b="1" i="0" u="none" strike="noStrike" kern="1200" spc="0" baseline="0">
                      <a:solidFill>
                        <a:sysClr val="windowText" lastClr="000000"/>
                      </a:solidFill>
                      <a:latin typeface="+mn-lt"/>
                      <a:ea typeface="+mn-ea"/>
                      <a:cs typeface="+mn-cs"/>
                    </a:defRPr>
                  </a:pPr>
                  <a:endParaRPr lang="lv-LV"/>
                </a:p>
              </c:txPr>
              <c:dLblPos val="bestFit"/>
              <c:showLegendKey val="0"/>
              <c:showVal val="1"/>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11-E60D-48FD-8ABB-DDE9B20A2619}"/>
                </c:ext>
              </c:extLst>
            </c:dLbl>
            <c:dLbl>
              <c:idx val="9"/>
              <c:numFmt formatCode="0.00%" sourceLinked="0"/>
              <c:spPr>
                <a:noFill/>
                <a:ln>
                  <a:noFill/>
                </a:ln>
                <a:effectLst/>
              </c:spPr>
              <c:txPr>
                <a:bodyPr rot="0" spcFirstLastPara="1" vertOverflow="ellipsis" vert="horz" wrap="square" lIns="38100" tIns="19050" rIns="38100" bIns="19050" anchor="ctr" anchorCtr="1">
                  <a:spAutoFit/>
                </a:bodyPr>
                <a:lstStyle/>
                <a:p>
                  <a:pPr>
                    <a:defRPr sz="1000" b="1" i="0" u="none" strike="noStrike" kern="1200" spc="0" baseline="0">
                      <a:solidFill>
                        <a:sysClr val="windowText" lastClr="000000"/>
                      </a:solidFill>
                      <a:latin typeface="+mn-lt"/>
                      <a:ea typeface="+mn-ea"/>
                      <a:cs typeface="+mn-cs"/>
                    </a:defRPr>
                  </a:pPr>
                  <a:endParaRPr lang="lv-LV"/>
                </a:p>
              </c:txPr>
              <c:dLblPos val="outEnd"/>
              <c:showLegendKey val="0"/>
              <c:showVal val="1"/>
              <c:showCatName val="1"/>
              <c:showSerName val="0"/>
              <c:showPercent val="1"/>
              <c:showBubbleSize val="0"/>
              <c:extLst>
                <c:ext xmlns:c16="http://schemas.microsoft.com/office/drawing/2014/chart" uri="{C3380CC4-5D6E-409C-BE32-E72D297353CC}">
                  <c16:uniqueId val="{00000013-E60D-48FD-8ABB-DDE9B20A2619}"/>
                </c:ext>
              </c:extLst>
            </c:dLbl>
            <c:dLbl>
              <c:idx val="10"/>
              <c:numFmt formatCode="0.00%" sourceLinked="0"/>
              <c:spPr>
                <a:noFill/>
                <a:ln>
                  <a:noFill/>
                </a:ln>
                <a:effectLst/>
              </c:spPr>
              <c:txPr>
                <a:bodyPr rot="0" spcFirstLastPara="1" vertOverflow="ellipsis" vert="horz" wrap="square" lIns="38100" tIns="19050" rIns="38100" bIns="19050" anchor="ctr" anchorCtr="1">
                  <a:spAutoFit/>
                </a:bodyPr>
                <a:lstStyle/>
                <a:p>
                  <a:pPr>
                    <a:defRPr sz="1000" b="1" i="0" u="none" strike="noStrike" kern="1200" spc="0" baseline="0">
                      <a:solidFill>
                        <a:sysClr val="windowText" lastClr="000000"/>
                      </a:solidFill>
                      <a:latin typeface="+mn-lt"/>
                      <a:ea typeface="+mn-ea"/>
                      <a:cs typeface="+mn-cs"/>
                    </a:defRPr>
                  </a:pPr>
                  <a:endParaRPr lang="lv-LV"/>
                </a:p>
              </c:txPr>
              <c:dLblPos val="outEnd"/>
              <c:showLegendKey val="0"/>
              <c:showVal val="1"/>
              <c:showCatName val="1"/>
              <c:showSerName val="0"/>
              <c:showPercent val="1"/>
              <c:showBubbleSize val="0"/>
              <c:extLst>
                <c:ext xmlns:c16="http://schemas.microsoft.com/office/drawing/2014/chart" uri="{C3380CC4-5D6E-409C-BE32-E72D297353CC}">
                  <c16:uniqueId val="{00000015-E60D-48FD-8ABB-DDE9B20A2619}"/>
                </c:ext>
              </c:extLst>
            </c:dLbl>
            <c:dLbl>
              <c:idx val="11"/>
              <c:numFmt formatCode="0.00%" sourceLinked="0"/>
              <c:spPr>
                <a:noFill/>
                <a:ln>
                  <a:noFill/>
                </a:ln>
                <a:effectLst/>
              </c:spPr>
              <c:txPr>
                <a:bodyPr rot="0" spcFirstLastPara="1" vertOverflow="ellipsis" vert="horz" wrap="square" lIns="38100" tIns="19050" rIns="38100" bIns="19050" anchor="ctr" anchorCtr="1">
                  <a:spAutoFit/>
                </a:bodyPr>
                <a:lstStyle/>
                <a:p>
                  <a:pPr>
                    <a:defRPr sz="1000" b="1" i="0" u="none" strike="noStrike" kern="1200" spc="0" baseline="0">
                      <a:solidFill>
                        <a:sysClr val="windowText" lastClr="000000"/>
                      </a:solidFill>
                      <a:latin typeface="+mn-lt"/>
                      <a:ea typeface="+mn-ea"/>
                      <a:cs typeface="+mn-cs"/>
                    </a:defRPr>
                  </a:pPr>
                  <a:endParaRPr lang="lv-LV"/>
                </a:p>
              </c:txPr>
              <c:dLblPos val="outEnd"/>
              <c:showLegendKey val="0"/>
              <c:showVal val="1"/>
              <c:showCatName val="1"/>
              <c:showSerName val="0"/>
              <c:showPercent val="1"/>
              <c:showBubbleSize val="0"/>
              <c:extLst>
                <c:ext xmlns:c16="http://schemas.microsoft.com/office/drawing/2014/chart" uri="{C3380CC4-5D6E-409C-BE32-E72D297353CC}">
                  <c16:uniqueId val="{00000017-E60D-48FD-8ABB-DDE9B20A2619}"/>
                </c:ext>
              </c:extLst>
            </c:dLbl>
            <c:numFmt formatCode="0.00%" sourceLinked="0"/>
            <c:spPr>
              <a:noFill/>
              <a:ln>
                <a:noFill/>
              </a:ln>
              <a:effectLst/>
            </c:spPr>
            <c:txPr>
              <a:bodyPr rot="0" spcFirstLastPara="1" vertOverflow="ellipsis" vert="horz" wrap="square" lIns="38100" tIns="19050" rIns="38100" bIns="19050" anchor="ctr" anchorCtr="1">
                <a:spAutoFit/>
              </a:bodyPr>
              <a:lstStyle/>
              <a:p>
                <a:pPr>
                  <a:defRPr sz="1000" b="1" i="0" u="none" strike="noStrike" kern="1200" spc="0" baseline="0">
                    <a:solidFill>
                      <a:sysClr val="windowText" lastClr="000000"/>
                    </a:solidFill>
                    <a:latin typeface="+mn-lt"/>
                    <a:ea typeface="+mn-ea"/>
                    <a:cs typeface="+mn-cs"/>
                  </a:defRPr>
                </a:pPr>
                <a:endParaRPr lang="lv-LV"/>
              </a:p>
            </c:txPr>
            <c:dLblPos val="outEnd"/>
            <c:showLegendKey val="0"/>
            <c:showVal val="1"/>
            <c:showCatName val="1"/>
            <c:showSerName val="0"/>
            <c:showPercent val="1"/>
            <c:showBubbleSize val="0"/>
            <c:showLeaderLines val="1"/>
            <c:leaderLines>
              <c:spPr>
                <a:ln w="9525">
                  <a:solidFill>
                    <a:schemeClr val="tx1">
                      <a:lumMod val="35000"/>
                      <a:lumOff val="65000"/>
                    </a:schemeClr>
                  </a:solidFill>
                  <a:round/>
                </a:ln>
                <a:effectLst/>
              </c:spPr>
            </c:leaderLines>
            <c:extLst>
              <c:ext xmlns:c15="http://schemas.microsoft.com/office/drawing/2012/chart" uri="{CE6537A1-D6FC-4f65-9D91-7224C49458BB}"/>
            </c:extLst>
          </c:dLbls>
          <c:cat>
            <c:strRef>
              <c:f>Sheet15!$A$25:$A$36</c:f>
              <c:strCache>
                <c:ptCount val="6"/>
                <c:pt idx="0">
                  <c:v>Pašvaldību budžeta transferti</c:v>
                </c:pt>
                <c:pt idx="1">
                  <c:v>Nodokļu ieņēmumi</c:v>
                </c:pt>
                <c:pt idx="2">
                  <c:v>Nenodokļu ieņēmumi</c:v>
                </c:pt>
                <c:pt idx="3">
                  <c:v>Maksas pakalpojumi</c:v>
                </c:pt>
                <c:pt idx="4">
                  <c:v>Ārvalstu finanšu palīdzībā</c:v>
                </c:pt>
                <c:pt idx="5">
                  <c:v>Valsts budžeta transferti</c:v>
                </c:pt>
              </c:strCache>
            </c:strRef>
          </c:cat>
          <c:val>
            <c:numRef>
              <c:f>Sheet15!$B$25:$B$36</c:f>
              <c:numCache>
                <c:formatCode>#,##0</c:formatCode>
                <c:ptCount val="12"/>
                <c:pt idx="0">
                  <c:v>857538</c:v>
                </c:pt>
                <c:pt idx="1">
                  <c:v>17483938</c:v>
                </c:pt>
                <c:pt idx="2">
                  <c:v>1041714</c:v>
                </c:pt>
                <c:pt idx="3">
                  <c:v>3061726</c:v>
                </c:pt>
                <c:pt idx="4">
                  <c:v>71584</c:v>
                </c:pt>
                <c:pt idx="5">
                  <c:v>30676955</c:v>
                </c:pt>
              </c:numCache>
            </c:numRef>
          </c:val>
          <c:extLst>
            <c:ext xmlns:c16="http://schemas.microsoft.com/office/drawing/2014/chart" uri="{C3380CC4-5D6E-409C-BE32-E72D297353CC}">
              <c16:uniqueId val="{00000018-E60D-48FD-8ABB-DDE9B20A2619}"/>
            </c:ext>
          </c:extLst>
        </c:ser>
        <c:dLbls>
          <c:dLblPos val="outEnd"/>
          <c:showLegendKey val="0"/>
          <c:showVal val="0"/>
          <c:showCatName val="1"/>
          <c:showSerName val="0"/>
          <c:showPercent val="0"/>
          <c:showBubbleSize val="0"/>
          <c:showLeaderLines val="1"/>
        </c:dLbls>
      </c:pie3DChart>
      <c:spPr>
        <a:noFill/>
        <a:ln>
          <a:noFill/>
        </a:ln>
        <a:effectLst/>
      </c:spPr>
    </c:plotArea>
    <c:plotVisOnly val="1"/>
    <c:dispBlanksAs val="gap"/>
    <c:showDLblsOverMax val="0"/>
  </c:chart>
  <c:spPr>
    <a:solidFill>
      <a:schemeClr val="bg1"/>
    </a:solidFill>
    <a:ln w="9525">
      <a:solidFill>
        <a:schemeClr val="tx1">
          <a:lumMod val="15000"/>
          <a:lumOff val="85000"/>
        </a:schemeClr>
      </a:solidFill>
      <a:round/>
    </a:ln>
    <a:effectLst/>
  </c:spPr>
  <c:txPr>
    <a:bodyPr/>
    <a:lstStyle/>
    <a:p>
      <a:pPr>
        <a:defRPr/>
      </a:pPr>
      <a:endParaRPr lang="lv-LV"/>
    </a:p>
  </c:txPr>
  <c:externalData r:id="rId1">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c:date1904 val="0"/>
  <c:lang val="lv-LV"/>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view3D>
      <c:rotX val="30"/>
      <c:rotY val="0"/>
      <c:rAngAx val="0"/>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pie3DChart>
        <c:varyColors val="1"/>
        <c:ser>
          <c:idx val="0"/>
          <c:order val="0"/>
          <c:dPt>
            <c:idx val="0"/>
            <c:bubble3D val="0"/>
            <c:spPr>
              <a:solidFill>
                <a:schemeClr val="accent1"/>
              </a:solidFill>
              <a:ln>
                <a:noFill/>
              </a:ln>
              <a:effectLst>
                <a:outerShdw blurRad="88900" dist="0" dir="0" sx="102000" sy="102000" kx="0" ky="0" algn="ctr" rotWithShape="0">
                  <a:prstClr val="black">
                    <a:alpha val="10000"/>
                  </a:prstClr>
                </a:outerShdw>
              </a:effectLst>
              <a:scene3d>
                <a:camera prst="orthographicFront"/>
                <a:lightRig rig="threePt" dir="t"/>
              </a:scene3d>
              <a:sp3d>
                <a:bevelT w="127000" h="127000" prst="circle"/>
                <a:bevelB w="127000" h="127000" prst="circle"/>
              </a:sp3d>
            </c:spPr>
            <c:extLst>
              <c:ext xmlns:c16="http://schemas.microsoft.com/office/drawing/2014/chart" uri="{C3380CC4-5D6E-409C-BE32-E72D297353CC}">
                <c16:uniqueId val="{00000001-B6B7-4831-B28C-54C1A3B00A10}"/>
              </c:ext>
            </c:extLst>
          </c:dPt>
          <c:dPt>
            <c:idx val="1"/>
            <c:bubble3D val="0"/>
            <c:spPr>
              <a:solidFill>
                <a:schemeClr val="accent2"/>
              </a:solidFill>
              <a:ln>
                <a:noFill/>
              </a:ln>
              <a:effectLst>
                <a:outerShdw blurRad="88900" dist="0" dir="0" sx="102000" sy="102000" kx="0" ky="0" algn="ctr" rotWithShape="0">
                  <a:prstClr val="black">
                    <a:alpha val="10000"/>
                  </a:prstClr>
                </a:outerShdw>
              </a:effectLst>
              <a:scene3d>
                <a:camera prst="orthographicFront"/>
                <a:lightRig rig="threePt" dir="t"/>
              </a:scene3d>
              <a:sp3d>
                <a:bevelT w="127000" h="127000" prst="circle"/>
                <a:bevelB w="127000" h="127000" prst="circle"/>
              </a:sp3d>
            </c:spPr>
            <c:extLst>
              <c:ext xmlns:c16="http://schemas.microsoft.com/office/drawing/2014/chart" uri="{C3380CC4-5D6E-409C-BE32-E72D297353CC}">
                <c16:uniqueId val="{00000003-B6B7-4831-B28C-54C1A3B00A10}"/>
              </c:ext>
            </c:extLst>
          </c:dPt>
          <c:dPt>
            <c:idx val="2"/>
            <c:bubble3D val="0"/>
            <c:spPr>
              <a:solidFill>
                <a:schemeClr val="accent3"/>
              </a:solidFill>
              <a:ln>
                <a:noFill/>
              </a:ln>
              <a:effectLst>
                <a:outerShdw blurRad="88900" dist="0" dir="0" sx="102000" sy="102000" kx="0" ky="0" algn="ctr" rotWithShape="0">
                  <a:prstClr val="black">
                    <a:alpha val="10000"/>
                  </a:prstClr>
                </a:outerShdw>
              </a:effectLst>
              <a:scene3d>
                <a:camera prst="orthographicFront"/>
                <a:lightRig rig="threePt" dir="t"/>
              </a:scene3d>
              <a:sp3d>
                <a:bevelT w="127000" h="127000" prst="circle"/>
                <a:bevelB w="127000" h="127000" prst="circle"/>
              </a:sp3d>
            </c:spPr>
            <c:extLst>
              <c:ext xmlns:c16="http://schemas.microsoft.com/office/drawing/2014/chart" uri="{C3380CC4-5D6E-409C-BE32-E72D297353CC}">
                <c16:uniqueId val="{00000005-B6B7-4831-B28C-54C1A3B00A10}"/>
              </c:ext>
            </c:extLst>
          </c:dPt>
          <c:dPt>
            <c:idx val="3"/>
            <c:bubble3D val="0"/>
            <c:spPr>
              <a:solidFill>
                <a:schemeClr val="accent4"/>
              </a:solidFill>
              <a:ln>
                <a:noFill/>
              </a:ln>
              <a:effectLst>
                <a:outerShdw blurRad="88900" dist="0" dir="0" sx="102000" sy="102000" kx="0" ky="0" algn="ctr" rotWithShape="0">
                  <a:prstClr val="black">
                    <a:alpha val="10000"/>
                  </a:prstClr>
                </a:outerShdw>
              </a:effectLst>
              <a:scene3d>
                <a:camera prst="orthographicFront"/>
                <a:lightRig rig="threePt" dir="t"/>
              </a:scene3d>
              <a:sp3d>
                <a:bevelT w="127000" h="127000" prst="circle"/>
                <a:bevelB w="127000" h="127000" prst="circle"/>
              </a:sp3d>
            </c:spPr>
            <c:extLst>
              <c:ext xmlns:c16="http://schemas.microsoft.com/office/drawing/2014/chart" uri="{C3380CC4-5D6E-409C-BE32-E72D297353CC}">
                <c16:uniqueId val="{00000007-B6B7-4831-B28C-54C1A3B00A10}"/>
              </c:ext>
            </c:extLst>
          </c:dPt>
          <c:dPt>
            <c:idx val="4"/>
            <c:bubble3D val="0"/>
            <c:spPr>
              <a:solidFill>
                <a:schemeClr val="accent5"/>
              </a:solidFill>
              <a:ln>
                <a:noFill/>
              </a:ln>
              <a:effectLst>
                <a:outerShdw blurRad="88900" dist="0" dir="0" sx="102000" sy="102000" kx="0" ky="0" algn="ctr" rotWithShape="0">
                  <a:prstClr val="black">
                    <a:alpha val="10000"/>
                  </a:prstClr>
                </a:outerShdw>
              </a:effectLst>
              <a:scene3d>
                <a:camera prst="orthographicFront"/>
                <a:lightRig rig="threePt" dir="t"/>
              </a:scene3d>
              <a:sp3d>
                <a:bevelT w="127000" h="127000" prst="circle"/>
                <a:bevelB w="127000" h="127000" prst="circle"/>
              </a:sp3d>
            </c:spPr>
            <c:extLst>
              <c:ext xmlns:c16="http://schemas.microsoft.com/office/drawing/2014/chart" uri="{C3380CC4-5D6E-409C-BE32-E72D297353CC}">
                <c16:uniqueId val="{00000009-B6B7-4831-B28C-54C1A3B00A10}"/>
              </c:ext>
            </c:extLst>
          </c:dPt>
          <c:dPt>
            <c:idx val="5"/>
            <c:bubble3D val="0"/>
            <c:spPr>
              <a:solidFill>
                <a:schemeClr val="accent6"/>
              </a:solidFill>
              <a:ln>
                <a:noFill/>
              </a:ln>
              <a:effectLst>
                <a:outerShdw blurRad="88900" dist="0" dir="0" sx="102000" sy="102000" kx="0" ky="0" algn="ctr" rotWithShape="0">
                  <a:prstClr val="black">
                    <a:alpha val="10000"/>
                  </a:prstClr>
                </a:outerShdw>
              </a:effectLst>
              <a:scene3d>
                <a:camera prst="orthographicFront"/>
                <a:lightRig rig="threePt" dir="t"/>
              </a:scene3d>
              <a:sp3d>
                <a:bevelT w="127000" h="127000" prst="circle"/>
                <a:bevelB w="127000" h="127000" prst="circle"/>
              </a:sp3d>
            </c:spPr>
            <c:extLst>
              <c:ext xmlns:c16="http://schemas.microsoft.com/office/drawing/2014/chart" uri="{C3380CC4-5D6E-409C-BE32-E72D297353CC}">
                <c16:uniqueId val="{0000000B-B6B7-4831-B28C-54C1A3B00A10}"/>
              </c:ext>
            </c:extLst>
          </c:dPt>
          <c:dPt>
            <c:idx val="6"/>
            <c:bubble3D val="0"/>
            <c:spPr>
              <a:solidFill>
                <a:schemeClr val="accent1">
                  <a:lumMod val="60000"/>
                </a:schemeClr>
              </a:solidFill>
              <a:ln>
                <a:noFill/>
              </a:ln>
              <a:effectLst>
                <a:outerShdw blurRad="88900" dist="0" dir="0" sx="102000" sy="102000" kx="0" ky="0" algn="ctr" rotWithShape="0">
                  <a:prstClr val="black">
                    <a:alpha val="10000"/>
                  </a:prstClr>
                </a:outerShdw>
              </a:effectLst>
              <a:scene3d>
                <a:camera prst="orthographicFront"/>
                <a:lightRig rig="threePt" dir="t"/>
              </a:scene3d>
              <a:sp3d>
                <a:bevelT w="127000" h="127000" prst="circle"/>
                <a:bevelB w="127000" h="127000" prst="circle"/>
              </a:sp3d>
            </c:spPr>
            <c:extLst>
              <c:ext xmlns:c16="http://schemas.microsoft.com/office/drawing/2014/chart" uri="{C3380CC4-5D6E-409C-BE32-E72D297353CC}">
                <c16:uniqueId val="{0000000D-B6B7-4831-B28C-54C1A3B00A10}"/>
              </c:ext>
            </c:extLst>
          </c:dPt>
          <c:dPt>
            <c:idx val="7"/>
            <c:bubble3D val="0"/>
            <c:spPr>
              <a:solidFill>
                <a:schemeClr val="accent2">
                  <a:lumMod val="60000"/>
                </a:schemeClr>
              </a:solidFill>
              <a:ln>
                <a:noFill/>
              </a:ln>
              <a:effectLst>
                <a:outerShdw blurRad="88900" dist="0" dir="0" sx="102000" sy="102000" kx="0" ky="0" algn="ctr" rotWithShape="0">
                  <a:prstClr val="black">
                    <a:alpha val="10000"/>
                  </a:prstClr>
                </a:outerShdw>
              </a:effectLst>
              <a:scene3d>
                <a:camera prst="orthographicFront"/>
                <a:lightRig rig="threePt" dir="t"/>
              </a:scene3d>
              <a:sp3d>
                <a:bevelT w="127000" h="127000" prst="circle"/>
                <a:bevelB w="127000" h="127000" prst="circle"/>
              </a:sp3d>
            </c:spPr>
            <c:extLst>
              <c:ext xmlns:c16="http://schemas.microsoft.com/office/drawing/2014/chart" uri="{C3380CC4-5D6E-409C-BE32-E72D297353CC}">
                <c16:uniqueId val="{0000000F-B6B7-4831-B28C-54C1A3B00A10}"/>
              </c:ext>
            </c:extLst>
          </c:dPt>
          <c:dPt>
            <c:idx val="8"/>
            <c:bubble3D val="0"/>
            <c:spPr>
              <a:solidFill>
                <a:schemeClr val="accent3">
                  <a:lumMod val="60000"/>
                </a:schemeClr>
              </a:solidFill>
              <a:ln>
                <a:noFill/>
              </a:ln>
              <a:effectLst>
                <a:outerShdw blurRad="88900" dist="0" dir="0" sx="102000" sy="102000" kx="0" ky="0" algn="ctr" rotWithShape="0">
                  <a:prstClr val="black">
                    <a:alpha val="10000"/>
                  </a:prstClr>
                </a:outerShdw>
              </a:effectLst>
              <a:scene3d>
                <a:camera prst="orthographicFront"/>
                <a:lightRig rig="threePt" dir="t"/>
              </a:scene3d>
              <a:sp3d>
                <a:bevelT w="127000" h="127000" prst="circle"/>
                <a:bevelB w="127000" h="127000" prst="circle"/>
              </a:sp3d>
            </c:spPr>
            <c:extLst>
              <c:ext xmlns:c16="http://schemas.microsoft.com/office/drawing/2014/chart" uri="{C3380CC4-5D6E-409C-BE32-E72D297353CC}">
                <c16:uniqueId val="{00000011-B6B7-4831-B28C-54C1A3B00A10}"/>
              </c:ext>
            </c:extLst>
          </c:dPt>
          <c:dPt>
            <c:idx val="9"/>
            <c:bubble3D val="0"/>
            <c:spPr>
              <a:solidFill>
                <a:schemeClr val="accent4">
                  <a:lumMod val="60000"/>
                </a:schemeClr>
              </a:solidFill>
              <a:ln>
                <a:noFill/>
              </a:ln>
              <a:effectLst>
                <a:outerShdw blurRad="88900" dist="0" dir="0" sx="102000" sy="102000" kx="0" ky="0" algn="ctr" rotWithShape="0">
                  <a:prstClr val="black">
                    <a:alpha val="10000"/>
                  </a:prstClr>
                </a:outerShdw>
              </a:effectLst>
              <a:scene3d>
                <a:camera prst="orthographicFront"/>
                <a:lightRig rig="threePt" dir="t"/>
              </a:scene3d>
              <a:sp3d>
                <a:bevelT w="127000" h="127000" prst="circle"/>
                <a:bevelB w="127000" h="127000" prst="circle"/>
              </a:sp3d>
            </c:spPr>
            <c:extLst>
              <c:ext xmlns:c16="http://schemas.microsoft.com/office/drawing/2014/chart" uri="{C3380CC4-5D6E-409C-BE32-E72D297353CC}">
                <c16:uniqueId val="{00000013-B6B7-4831-B28C-54C1A3B00A10}"/>
              </c:ext>
            </c:extLst>
          </c:dPt>
          <c:dPt>
            <c:idx val="10"/>
            <c:bubble3D val="0"/>
            <c:spPr>
              <a:solidFill>
                <a:schemeClr val="accent5">
                  <a:lumMod val="60000"/>
                </a:schemeClr>
              </a:solidFill>
              <a:ln>
                <a:noFill/>
              </a:ln>
              <a:effectLst>
                <a:outerShdw blurRad="88900" dist="0" dir="0" sx="102000" sy="102000" kx="0" ky="0" algn="ctr" rotWithShape="0">
                  <a:prstClr val="black">
                    <a:alpha val="10000"/>
                  </a:prstClr>
                </a:outerShdw>
              </a:effectLst>
              <a:scene3d>
                <a:camera prst="orthographicFront"/>
                <a:lightRig rig="threePt" dir="t"/>
              </a:scene3d>
              <a:sp3d>
                <a:bevelT w="127000" h="127000" prst="circle"/>
                <a:bevelB w="127000" h="127000" prst="circle"/>
              </a:sp3d>
            </c:spPr>
            <c:extLst>
              <c:ext xmlns:c16="http://schemas.microsoft.com/office/drawing/2014/chart" uri="{C3380CC4-5D6E-409C-BE32-E72D297353CC}">
                <c16:uniqueId val="{00000015-B6B7-4831-B28C-54C1A3B00A10}"/>
              </c:ext>
            </c:extLst>
          </c:dPt>
          <c:dPt>
            <c:idx val="11"/>
            <c:bubble3D val="0"/>
            <c:spPr>
              <a:solidFill>
                <a:schemeClr val="accent6">
                  <a:lumMod val="60000"/>
                </a:schemeClr>
              </a:solidFill>
              <a:ln>
                <a:noFill/>
              </a:ln>
              <a:effectLst>
                <a:outerShdw blurRad="88900" dist="0" dir="0" sx="102000" sy="102000" kx="0" ky="0" algn="ctr" rotWithShape="0">
                  <a:prstClr val="black">
                    <a:alpha val="10000"/>
                  </a:prstClr>
                </a:outerShdw>
              </a:effectLst>
              <a:scene3d>
                <a:camera prst="orthographicFront"/>
                <a:lightRig rig="threePt" dir="t"/>
              </a:scene3d>
              <a:sp3d>
                <a:bevelT w="127000" h="127000" prst="circle"/>
                <a:bevelB w="127000" h="127000" prst="circle"/>
              </a:sp3d>
            </c:spPr>
            <c:extLst>
              <c:ext xmlns:c16="http://schemas.microsoft.com/office/drawing/2014/chart" uri="{C3380CC4-5D6E-409C-BE32-E72D297353CC}">
                <c16:uniqueId val="{00000017-B6B7-4831-B28C-54C1A3B00A10}"/>
              </c:ext>
            </c:extLst>
          </c:dPt>
          <c:dLbls>
            <c:dLbl>
              <c:idx val="0"/>
              <c:layout>
                <c:manualLayout>
                  <c:x val="-0.077380952380952384"/>
                  <c:y val="-0.0083769605880494417"/>
                </c:manualLayout>
              </c:layout>
              <c:numFmt formatCode="0.00%" sourceLinked="0"/>
              <c:spPr>
                <a:noFill/>
                <a:ln>
                  <a:noFill/>
                </a:ln>
                <a:effectLst/>
              </c:spPr>
              <c:txPr>
                <a:bodyPr rot="0" spcFirstLastPara="1" vertOverflow="ellipsis" vert="horz" wrap="square" lIns="38100" tIns="19050" rIns="38100" bIns="19050" anchor="ctr" anchorCtr="1">
                  <a:spAutoFit/>
                </a:bodyPr>
                <a:lstStyle/>
                <a:p>
                  <a:pPr>
                    <a:defRPr sz="1000" b="1" i="0" u="none" strike="noStrike" kern="1200" spc="0" baseline="0">
                      <a:solidFill>
                        <a:sysClr val="windowText" lastClr="000000"/>
                      </a:solidFill>
                      <a:latin typeface="+mn-lt"/>
                      <a:ea typeface="+mn-ea"/>
                      <a:cs typeface="+mn-cs"/>
                    </a:defRPr>
                  </a:pPr>
                  <a:endParaRPr lang="lv-LV"/>
                </a:p>
              </c:txPr>
              <c:dLblPos val="bestFit"/>
              <c:showLegendKey val="0"/>
              <c:showVal val="1"/>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01-B6B7-4831-B28C-54C1A3B00A10}"/>
                </c:ext>
              </c:extLst>
            </c:dLbl>
            <c:dLbl>
              <c:idx val="1"/>
              <c:layout>
                <c:manualLayout>
                  <c:x val="0.10119047619047604"/>
                  <c:y val="-0.099409677126434282"/>
                </c:manualLayout>
              </c:layout>
              <c:numFmt formatCode="0.00%" sourceLinked="0"/>
              <c:spPr>
                <a:noFill/>
                <a:ln>
                  <a:noFill/>
                </a:ln>
                <a:effectLst/>
              </c:spPr>
              <c:txPr>
                <a:bodyPr rot="0" spcFirstLastPara="1" vertOverflow="ellipsis" vert="horz" wrap="square" lIns="38100" tIns="19050" rIns="38100" bIns="19050" anchor="ctr" anchorCtr="1">
                  <a:spAutoFit/>
                </a:bodyPr>
                <a:lstStyle/>
                <a:p>
                  <a:pPr>
                    <a:defRPr sz="1000" b="1" i="0" u="none" strike="noStrike" kern="1200" spc="0" baseline="0">
                      <a:solidFill>
                        <a:sysClr val="windowText" lastClr="000000"/>
                      </a:solidFill>
                      <a:latin typeface="+mn-lt"/>
                      <a:ea typeface="+mn-ea"/>
                      <a:cs typeface="+mn-cs"/>
                    </a:defRPr>
                  </a:pPr>
                  <a:endParaRPr lang="lv-LV"/>
                </a:p>
              </c:txPr>
              <c:dLblPos val="bestFit"/>
              <c:showLegendKey val="0"/>
              <c:showVal val="1"/>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03-B6B7-4831-B28C-54C1A3B00A10}"/>
                </c:ext>
              </c:extLst>
            </c:dLbl>
            <c:dLbl>
              <c:idx val="2"/>
              <c:layout>
                <c:manualLayout>
                  <c:x val="0.073412698412698416"/>
                  <c:y val="0.020187155810807336"/>
                </c:manualLayout>
              </c:layout>
              <c:numFmt formatCode="0.00%" sourceLinked="0"/>
              <c:spPr>
                <a:noFill/>
                <a:ln>
                  <a:noFill/>
                </a:ln>
                <a:effectLst/>
              </c:spPr>
              <c:txPr>
                <a:bodyPr rot="0" spcFirstLastPara="1" vertOverflow="ellipsis" vert="horz" wrap="square" lIns="38100" tIns="19050" rIns="38100" bIns="19050" anchor="ctr" anchorCtr="1">
                  <a:spAutoFit/>
                </a:bodyPr>
                <a:lstStyle/>
                <a:p>
                  <a:pPr>
                    <a:defRPr sz="1000" b="1" i="0" u="none" strike="noStrike" kern="1200" spc="0" baseline="0">
                      <a:solidFill>
                        <a:sysClr val="windowText" lastClr="000000"/>
                      </a:solidFill>
                      <a:latin typeface="+mn-lt"/>
                      <a:ea typeface="+mn-ea"/>
                      <a:cs typeface="+mn-cs"/>
                    </a:defRPr>
                  </a:pPr>
                  <a:endParaRPr lang="lv-LV"/>
                </a:p>
              </c:txPr>
              <c:dLblPos val="bestFit"/>
              <c:showLegendKey val="0"/>
              <c:showVal val="1"/>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05-B6B7-4831-B28C-54C1A3B00A10}"/>
                </c:ext>
              </c:extLst>
            </c:dLbl>
            <c:dLbl>
              <c:idx val="3"/>
              <c:layout>
                <c:manualLayout>
                  <c:x val="-0.083333333333333329"/>
                  <c:y val="0.010833542757348035"/>
                </c:manualLayout>
              </c:layout>
              <c:numFmt formatCode="0.00%" sourceLinked="0"/>
              <c:spPr>
                <a:noFill/>
                <a:ln>
                  <a:noFill/>
                </a:ln>
                <a:effectLst/>
              </c:spPr>
              <c:txPr>
                <a:bodyPr rot="0" spcFirstLastPara="1" vertOverflow="ellipsis" vert="horz" wrap="square" lIns="38100" tIns="19050" rIns="38100" bIns="19050" anchor="ctr" anchorCtr="1">
                  <a:spAutoFit/>
                </a:bodyPr>
                <a:lstStyle/>
                <a:p>
                  <a:pPr>
                    <a:defRPr sz="1000" b="1" i="0" u="none" strike="noStrike" kern="1200" spc="0" baseline="0">
                      <a:solidFill>
                        <a:sysClr val="windowText" lastClr="000000"/>
                      </a:solidFill>
                      <a:latin typeface="+mn-lt"/>
                      <a:ea typeface="+mn-ea"/>
                      <a:cs typeface="+mn-cs"/>
                    </a:defRPr>
                  </a:pPr>
                  <a:endParaRPr lang="lv-LV"/>
                </a:p>
              </c:txPr>
              <c:dLblPos val="bestFit"/>
              <c:showLegendKey val="0"/>
              <c:showVal val="1"/>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07-B6B7-4831-B28C-54C1A3B00A10}"/>
                </c:ext>
              </c:extLst>
            </c:dLbl>
            <c:dLbl>
              <c:idx val="4"/>
              <c:layout>
                <c:manualLayout>
                  <c:x val="-1.4550096466308564E-16"/>
                  <c:y val="0.15916225117293939"/>
                </c:manualLayout>
              </c:layout>
              <c:numFmt formatCode="0.00%" sourceLinked="0"/>
              <c:spPr>
                <a:noFill/>
                <a:ln>
                  <a:noFill/>
                </a:ln>
                <a:effectLst/>
              </c:spPr>
              <c:txPr>
                <a:bodyPr rot="0" spcFirstLastPara="1" vertOverflow="ellipsis" vert="horz" wrap="square" lIns="38100" tIns="19050" rIns="38100" bIns="19050" anchor="ctr" anchorCtr="1">
                  <a:spAutoFit/>
                </a:bodyPr>
                <a:lstStyle/>
                <a:p>
                  <a:pPr>
                    <a:defRPr sz="1000" b="1" i="0" u="none" strike="noStrike" kern="1200" spc="0" baseline="0">
                      <a:solidFill>
                        <a:sysClr val="windowText" lastClr="000000"/>
                      </a:solidFill>
                      <a:latin typeface="+mn-lt"/>
                      <a:ea typeface="+mn-ea"/>
                      <a:cs typeface="+mn-cs"/>
                    </a:defRPr>
                  </a:pPr>
                  <a:endParaRPr lang="lv-LV"/>
                </a:p>
              </c:txPr>
              <c:dLblPos val="bestFit"/>
              <c:showLegendKey val="0"/>
              <c:showVal val="1"/>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09-B6B7-4831-B28C-54C1A3B00A10}"/>
                </c:ext>
              </c:extLst>
            </c:dLbl>
            <c:dLbl>
              <c:idx val="5"/>
              <c:layout>
                <c:manualLayout>
                  <c:x val="-0.13492063492063491"/>
                  <c:y val="-0.17674133594712088"/>
                </c:manualLayout>
              </c:layout>
              <c:numFmt formatCode="0.00%" sourceLinked="0"/>
              <c:spPr>
                <a:noFill/>
                <a:ln>
                  <a:noFill/>
                </a:ln>
                <a:effectLst/>
              </c:spPr>
              <c:txPr>
                <a:bodyPr rot="0" spcFirstLastPara="1" vertOverflow="ellipsis" vert="horz" wrap="square" lIns="38100" tIns="19050" rIns="38100" bIns="19050" anchor="ctr" anchorCtr="1">
                  <a:spAutoFit/>
                </a:bodyPr>
                <a:lstStyle/>
                <a:p>
                  <a:pPr>
                    <a:defRPr sz="1000" b="1" i="0" u="none" strike="noStrike" kern="1200" spc="0" baseline="0">
                      <a:solidFill>
                        <a:sysClr val="windowText" lastClr="000000"/>
                      </a:solidFill>
                      <a:latin typeface="+mn-lt"/>
                      <a:ea typeface="+mn-ea"/>
                      <a:cs typeface="+mn-cs"/>
                    </a:defRPr>
                  </a:pPr>
                  <a:endParaRPr lang="lv-LV"/>
                </a:p>
              </c:txPr>
              <c:dLblPos val="bestFit"/>
              <c:showLegendKey val="0"/>
              <c:showVal val="1"/>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0B-B6B7-4831-B28C-54C1A3B00A10}"/>
                </c:ext>
              </c:extLst>
            </c:dLbl>
            <c:dLbl>
              <c:idx val="6"/>
              <c:layout>
                <c:manualLayout>
                  <c:x val="-0.0079365079365079361"/>
                  <c:y val="0.20942401470123603"/>
                </c:manualLayout>
              </c:layout>
              <c:numFmt formatCode="0.00%" sourceLinked="0"/>
              <c:spPr>
                <a:noFill/>
                <a:ln>
                  <a:noFill/>
                </a:ln>
                <a:effectLst/>
              </c:spPr>
              <c:txPr>
                <a:bodyPr rot="0" spcFirstLastPara="1" vertOverflow="ellipsis" vert="horz" wrap="square" lIns="38100" tIns="19050" rIns="38100" bIns="19050" anchor="ctr" anchorCtr="1">
                  <a:spAutoFit/>
                </a:bodyPr>
                <a:lstStyle/>
                <a:p>
                  <a:pPr>
                    <a:defRPr sz="1000" b="1" i="0" u="none" strike="noStrike" kern="1200" spc="0" baseline="0">
                      <a:solidFill>
                        <a:sysClr val="windowText" lastClr="000000"/>
                      </a:solidFill>
                      <a:latin typeface="+mn-lt"/>
                      <a:ea typeface="+mn-ea"/>
                      <a:cs typeface="+mn-cs"/>
                    </a:defRPr>
                  </a:pPr>
                  <a:endParaRPr lang="lv-LV"/>
                </a:p>
              </c:txPr>
              <c:dLblPos val="bestFit"/>
              <c:showLegendKey val="0"/>
              <c:showVal val="1"/>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0D-B6B7-4831-B28C-54C1A3B00A10}"/>
                </c:ext>
              </c:extLst>
            </c:dLbl>
            <c:dLbl>
              <c:idx val="7"/>
              <c:layout>
                <c:manualLayout>
                  <c:x val="-0.065476190476190479"/>
                  <c:y val="0.047469443332280169"/>
                </c:manualLayout>
              </c:layout>
              <c:numFmt formatCode="0.00%" sourceLinked="0"/>
              <c:spPr>
                <a:noFill/>
                <a:ln>
                  <a:noFill/>
                </a:ln>
                <a:effectLst/>
              </c:spPr>
              <c:txPr>
                <a:bodyPr rot="0" spcFirstLastPara="1" vertOverflow="ellipsis" vert="horz" wrap="square" lIns="38100" tIns="19050" rIns="38100" bIns="19050" anchor="ctr" anchorCtr="1">
                  <a:spAutoFit/>
                </a:bodyPr>
                <a:lstStyle/>
                <a:p>
                  <a:pPr>
                    <a:defRPr sz="1000" b="1" i="0" u="none" strike="noStrike" kern="1200" spc="0" baseline="0">
                      <a:solidFill>
                        <a:sysClr val="windowText" lastClr="000000"/>
                      </a:solidFill>
                      <a:latin typeface="+mn-lt"/>
                      <a:ea typeface="+mn-ea"/>
                      <a:cs typeface="+mn-cs"/>
                    </a:defRPr>
                  </a:pPr>
                  <a:endParaRPr lang="lv-LV"/>
                </a:p>
              </c:txPr>
              <c:dLblPos val="bestFit"/>
              <c:showLegendKey val="0"/>
              <c:showVal val="1"/>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0F-B6B7-4831-B28C-54C1A3B00A10}"/>
                </c:ext>
              </c:extLst>
            </c:dLbl>
            <c:dLbl>
              <c:idx val="8"/>
              <c:layout>
                <c:manualLayout>
                  <c:x val="0.24007936507936509"/>
                  <c:y val="-0.17033153195700532"/>
                </c:manualLayout>
              </c:layout>
              <c:numFmt formatCode="0.00%" sourceLinked="0"/>
              <c:spPr>
                <a:noFill/>
                <a:ln>
                  <a:noFill/>
                </a:ln>
                <a:effectLst/>
              </c:spPr>
              <c:txPr>
                <a:bodyPr rot="0" spcFirstLastPara="1" vertOverflow="ellipsis" vert="horz" wrap="square" lIns="38100" tIns="19050" rIns="38100" bIns="19050" anchor="ctr" anchorCtr="1">
                  <a:spAutoFit/>
                </a:bodyPr>
                <a:lstStyle/>
                <a:p>
                  <a:pPr>
                    <a:defRPr sz="1000" b="1" i="0" u="none" strike="noStrike" kern="1200" spc="0" baseline="0">
                      <a:solidFill>
                        <a:sysClr val="windowText" lastClr="000000"/>
                      </a:solidFill>
                      <a:latin typeface="+mn-lt"/>
                      <a:ea typeface="+mn-ea"/>
                      <a:cs typeface="+mn-cs"/>
                    </a:defRPr>
                  </a:pPr>
                  <a:endParaRPr lang="lv-LV"/>
                </a:p>
              </c:txPr>
              <c:dLblPos val="bestFit"/>
              <c:showLegendKey val="0"/>
              <c:showVal val="1"/>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11-B6B7-4831-B28C-54C1A3B00A10}"/>
                </c:ext>
              </c:extLst>
            </c:dLbl>
            <c:dLbl>
              <c:idx val="9"/>
              <c:numFmt formatCode="0.00%" sourceLinked="0"/>
              <c:spPr>
                <a:noFill/>
                <a:ln>
                  <a:noFill/>
                </a:ln>
                <a:effectLst/>
              </c:spPr>
              <c:txPr>
                <a:bodyPr rot="0" spcFirstLastPara="1" vertOverflow="ellipsis" vert="horz" wrap="square" lIns="38100" tIns="19050" rIns="38100" bIns="19050" anchor="ctr" anchorCtr="1">
                  <a:spAutoFit/>
                </a:bodyPr>
                <a:lstStyle/>
                <a:p>
                  <a:pPr>
                    <a:defRPr sz="1000" b="1" i="0" u="none" strike="noStrike" kern="1200" spc="0" baseline="0">
                      <a:solidFill>
                        <a:sysClr val="windowText" lastClr="000000"/>
                      </a:solidFill>
                      <a:latin typeface="+mn-lt"/>
                      <a:ea typeface="+mn-ea"/>
                      <a:cs typeface="+mn-cs"/>
                    </a:defRPr>
                  </a:pPr>
                  <a:endParaRPr lang="lv-LV"/>
                </a:p>
              </c:txPr>
              <c:dLblPos val="outEnd"/>
              <c:showLegendKey val="0"/>
              <c:showVal val="1"/>
              <c:showCatName val="1"/>
              <c:showSerName val="0"/>
              <c:showPercent val="1"/>
              <c:showBubbleSize val="0"/>
              <c:extLst>
                <c:ext xmlns:c16="http://schemas.microsoft.com/office/drawing/2014/chart" uri="{C3380CC4-5D6E-409C-BE32-E72D297353CC}">
                  <c16:uniqueId val="{00000013-B6B7-4831-B28C-54C1A3B00A10}"/>
                </c:ext>
              </c:extLst>
            </c:dLbl>
            <c:dLbl>
              <c:idx val="10"/>
              <c:numFmt formatCode="0.00%" sourceLinked="0"/>
              <c:spPr>
                <a:noFill/>
                <a:ln>
                  <a:noFill/>
                </a:ln>
                <a:effectLst/>
              </c:spPr>
              <c:txPr>
                <a:bodyPr rot="0" spcFirstLastPara="1" vertOverflow="ellipsis" vert="horz" wrap="square" lIns="38100" tIns="19050" rIns="38100" bIns="19050" anchor="ctr" anchorCtr="1">
                  <a:spAutoFit/>
                </a:bodyPr>
                <a:lstStyle/>
                <a:p>
                  <a:pPr>
                    <a:defRPr sz="1000" b="1" i="0" u="none" strike="noStrike" kern="1200" spc="0" baseline="0">
                      <a:solidFill>
                        <a:sysClr val="windowText" lastClr="000000"/>
                      </a:solidFill>
                      <a:latin typeface="+mn-lt"/>
                      <a:ea typeface="+mn-ea"/>
                      <a:cs typeface="+mn-cs"/>
                    </a:defRPr>
                  </a:pPr>
                  <a:endParaRPr lang="lv-LV"/>
                </a:p>
              </c:txPr>
              <c:dLblPos val="outEnd"/>
              <c:showLegendKey val="0"/>
              <c:showVal val="1"/>
              <c:showCatName val="1"/>
              <c:showSerName val="0"/>
              <c:showPercent val="1"/>
              <c:showBubbleSize val="0"/>
              <c:extLst>
                <c:ext xmlns:c16="http://schemas.microsoft.com/office/drawing/2014/chart" uri="{C3380CC4-5D6E-409C-BE32-E72D297353CC}">
                  <c16:uniqueId val="{00000015-B6B7-4831-B28C-54C1A3B00A10}"/>
                </c:ext>
              </c:extLst>
            </c:dLbl>
            <c:dLbl>
              <c:idx val="11"/>
              <c:numFmt formatCode="0.00%" sourceLinked="0"/>
              <c:spPr>
                <a:noFill/>
                <a:ln>
                  <a:noFill/>
                </a:ln>
                <a:effectLst/>
              </c:spPr>
              <c:txPr>
                <a:bodyPr rot="0" spcFirstLastPara="1" vertOverflow="ellipsis" vert="horz" wrap="square" lIns="38100" tIns="19050" rIns="38100" bIns="19050" anchor="ctr" anchorCtr="1">
                  <a:spAutoFit/>
                </a:bodyPr>
                <a:lstStyle/>
                <a:p>
                  <a:pPr>
                    <a:defRPr sz="1000" b="1" i="0" u="none" strike="noStrike" kern="1200" spc="0" baseline="0">
                      <a:solidFill>
                        <a:sysClr val="windowText" lastClr="000000"/>
                      </a:solidFill>
                      <a:latin typeface="+mn-lt"/>
                      <a:ea typeface="+mn-ea"/>
                      <a:cs typeface="+mn-cs"/>
                    </a:defRPr>
                  </a:pPr>
                  <a:endParaRPr lang="lv-LV"/>
                </a:p>
              </c:txPr>
              <c:dLblPos val="outEnd"/>
              <c:showLegendKey val="0"/>
              <c:showVal val="1"/>
              <c:showCatName val="1"/>
              <c:showSerName val="0"/>
              <c:showPercent val="1"/>
              <c:showBubbleSize val="0"/>
              <c:extLst>
                <c:ext xmlns:c16="http://schemas.microsoft.com/office/drawing/2014/chart" uri="{C3380CC4-5D6E-409C-BE32-E72D297353CC}">
                  <c16:uniqueId val="{00000017-B6B7-4831-B28C-54C1A3B00A10}"/>
                </c:ext>
              </c:extLst>
            </c:dLbl>
            <c:numFmt formatCode="0.00%" sourceLinked="0"/>
            <c:spPr>
              <a:noFill/>
              <a:ln>
                <a:noFill/>
              </a:ln>
              <a:effectLst/>
            </c:spPr>
            <c:txPr>
              <a:bodyPr rot="0" spcFirstLastPara="1" vertOverflow="ellipsis" vert="horz" wrap="square" lIns="38100" tIns="19050" rIns="38100" bIns="19050" anchor="ctr" anchorCtr="1">
                <a:spAutoFit/>
              </a:bodyPr>
              <a:lstStyle/>
              <a:p>
                <a:pPr>
                  <a:defRPr sz="1000" b="1" i="0" u="none" strike="noStrike" kern="1200" spc="0" baseline="0">
                    <a:solidFill>
                      <a:sysClr val="windowText" lastClr="000000"/>
                    </a:solidFill>
                    <a:latin typeface="+mn-lt"/>
                    <a:ea typeface="+mn-ea"/>
                    <a:cs typeface="+mn-cs"/>
                  </a:defRPr>
                </a:pPr>
                <a:endParaRPr lang="lv-LV"/>
              </a:p>
            </c:txPr>
            <c:dLblPos val="outEnd"/>
            <c:showLegendKey val="0"/>
            <c:showVal val="1"/>
            <c:showCatName val="1"/>
            <c:showSerName val="0"/>
            <c:showPercent val="1"/>
            <c:showBubbleSize val="0"/>
            <c:showLeaderLines val="1"/>
            <c:leaderLines>
              <c:spPr>
                <a:ln w="9525">
                  <a:solidFill>
                    <a:schemeClr val="tx1">
                      <a:lumMod val="35000"/>
                      <a:lumOff val="65000"/>
                    </a:schemeClr>
                  </a:solidFill>
                  <a:round/>
                </a:ln>
                <a:effectLst/>
              </c:spPr>
            </c:leaderLines>
            <c:extLst>
              <c:ext xmlns:c15="http://schemas.microsoft.com/office/drawing/2012/chart" uri="{CE6537A1-D6FC-4f65-9D91-7224C49458BB}"/>
            </c:extLst>
          </c:dLbls>
          <c:cat>
            <c:strRef>
              <c:f>Sheet15!$A$25:$A$36</c:f>
              <c:strCache>
                <c:ptCount val="10"/>
                <c:pt idx="0">
                  <c:v>Vispārējie valdības dienesti</c:v>
                </c:pt>
                <c:pt idx="1">
                  <c:v>Aizsardzība</c:v>
                </c:pt>
                <c:pt idx="2">
                  <c:v>Sabiedriskā kārība un drošība</c:v>
                </c:pt>
                <c:pt idx="3">
                  <c:v>Ekonomiskā darbība</c:v>
                </c:pt>
                <c:pt idx="4">
                  <c:v>Vides aizsardzība</c:v>
                </c:pt>
                <c:pt idx="5">
                  <c:v>Teritoriju un mājokļu apsaimniekošana</c:v>
                </c:pt>
                <c:pt idx="6">
                  <c:v>Veselība</c:v>
                </c:pt>
                <c:pt idx="7">
                  <c:v>Atpūta, kultūra un reliģija</c:v>
                </c:pt>
                <c:pt idx="8">
                  <c:v>Izglītība</c:v>
                </c:pt>
                <c:pt idx="9">
                  <c:v>Sociālā aizsardzība</c:v>
                </c:pt>
              </c:strCache>
            </c:strRef>
          </c:cat>
          <c:val>
            <c:numRef>
              <c:f>Sheet15!$B$25:$B$36</c:f>
              <c:numCache>
                <c:formatCode>#,##0</c:formatCode>
                <c:ptCount val="12"/>
                <c:pt idx="0">
                  <c:v>6830249</c:v>
                </c:pt>
                <c:pt idx="1">
                  <c:v>2000</c:v>
                </c:pt>
                <c:pt idx="2">
                  <c:v>277257</c:v>
                </c:pt>
                <c:pt idx="3">
                  <c:v>10676517</c:v>
                </c:pt>
                <c:pt idx="4">
                  <c:v>789223</c:v>
                </c:pt>
                <c:pt idx="5">
                  <c:v>6137528</c:v>
                </c:pt>
                <c:pt idx="6">
                  <c:v>1866889</c:v>
                </c:pt>
                <c:pt idx="7">
                  <c:v>5016424</c:v>
                </c:pt>
                <c:pt idx="8">
                  <c:v>24325074</c:v>
                </c:pt>
                <c:pt idx="9">
                  <c:v>9472748</c:v>
                </c:pt>
              </c:numCache>
            </c:numRef>
          </c:val>
          <c:extLst>
            <c:ext xmlns:c16="http://schemas.microsoft.com/office/drawing/2014/chart" uri="{C3380CC4-5D6E-409C-BE32-E72D297353CC}">
              <c16:uniqueId val="{00000018-B6B7-4831-B28C-54C1A3B00A10}"/>
            </c:ext>
          </c:extLst>
        </c:ser>
        <c:dLbls>
          <c:dLblPos val="outEnd"/>
          <c:showLegendKey val="0"/>
          <c:showVal val="0"/>
          <c:showCatName val="1"/>
          <c:showSerName val="0"/>
          <c:showPercent val="0"/>
          <c:showBubbleSize val="0"/>
          <c:showLeaderLines val="1"/>
        </c:dLbls>
      </c:pie3DChart>
      <c:spPr>
        <a:noFill/>
        <a:ln>
          <a:noFill/>
        </a:ln>
        <a:effectLst/>
      </c:spPr>
    </c:plotArea>
    <c:plotVisOnly val="1"/>
    <c:dispBlanksAs val="gap"/>
    <c:showDLblsOverMax val="0"/>
  </c:chart>
  <c:spPr>
    <a:solidFill>
      <a:schemeClr val="bg1"/>
    </a:solidFill>
    <a:ln w="9525">
      <a:solidFill>
        <a:schemeClr val="tx1">
          <a:lumMod val="15000"/>
          <a:lumOff val="85000"/>
        </a:schemeClr>
      </a:solidFill>
      <a:round/>
    </a:ln>
    <a:effectLst/>
  </c:spPr>
  <c:txPr>
    <a:bodyPr/>
    <a:lstStyle/>
    <a:p>
      <a:pPr>
        <a:defRPr/>
      </a:pPr>
      <a:endParaRPr lang="lv-LV"/>
    </a:p>
  </c:txPr>
  <c:externalData r:id="rId1">
    <c:autoUpdate val="0"/>
  </c:externalData>
</c:chartSpace>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word/theme/themeOverride1.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customXml/_rels/item1.xml.rels><?xml version="1.0" encoding="utf-8" standalone="yes"?><Relationships xmlns="http://schemas.openxmlformats.org/package/2006/relationships"><Relationship Id="rId1" Type="http://schemas.openxmlformats.org/officeDocument/2006/relationships/customXmlProps" Target="itemProps1.xml" /></Relationships>
</file>

<file path=customXml/_rels/item2.xml.rels><?xml version="1.0" encoding="utf-8" standalone="yes"?><Relationships xmlns="http://schemas.openxmlformats.org/package/2006/relationships"><Relationship Id="rId1" Type="http://schemas.openxmlformats.org/officeDocument/2006/relationships/customXmlProps" Target="itemProps2.xml" /></Relationships>
</file>

<file path=customXml/_rels/item3.xml.rels><?xml version="1.0" encoding="utf-8" standalone="yes"?><Relationships xmlns="http://schemas.openxmlformats.org/package/2006/relationships"><Relationship Id="rId1" Type="http://schemas.openxmlformats.org/officeDocument/2006/relationships/customXmlProps" Target="itemProps3.xml" /></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66f0e6ae-485d-4e3f-9016-068b00210997">
      <Terms xmlns="http://schemas.microsoft.com/office/infopath/2007/PartnerControls"/>
    </lcf76f155ced4ddcb4097134ff3c332f>
    <TaxCatchAll xmlns="86ef8e9a-2d70-4b27-ad38-ddf9b6987504"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2B9DF15F499298428B3727DE1C849A66" ma:contentTypeVersion="14" ma:contentTypeDescription="Create a new document." ma:contentTypeScope="" ma:versionID="d39f08b7f6972f07161b4b82d4a75943">
  <xsd:schema xmlns:xsd="http://www.w3.org/2001/XMLSchema" xmlns:xs="http://www.w3.org/2001/XMLSchema" xmlns:p="http://schemas.microsoft.com/office/2006/metadata/properties" xmlns:ns2="86ef8e9a-2d70-4b27-ad38-ddf9b6987504" xmlns:ns3="66f0e6ae-485d-4e3f-9016-068b00210997" targetNamespace="http://schemas.microsoft.com/office/2006/metadata/properties" ma:root="true" ma:fieldsID="1cda52f623e98b0c2fff090867027a60" ns2:_="" ns3:_="">
    <xsd:import namespace="86ef8e9a-2d70-4b27-ad38-ddf9b6987504"/>
    <xsd:import namespace="66f0e6ae-485d-4e3f-9016-068b00210997"/>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DateTaken" minOccurs="0"/>
                <xsd:element ref="ns3:MediaLengthInSeconds" minOccurs="0"/>
                <xsd:element ref="ns3:MediaServiceObjectDetectorVersions" minOccurs="0"/>
                <xsd:element ref="ns3:MediaServiceGenerationTime" minOccurs="0"/>
                <xsd:element ref="ns3:MediaServiceEventHashCode" minOccurs="0"/>
                <xsd:element ref="ns3:lcf76f155ced4ddcb4097134ff3c332f" minOccurs="0"/>
                <xsd:element ref="ns2:TaxCatchAll" minOccurs="0"/>
                <xsd:element ref="ns3:MediaServiceOCR"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6ef8e9a-2d70-4b27-ad38-ddf9b6987504"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TaxCatchAll" ma:index="19" nillable="true" ma:displayName="Taxonomy Catch All Column" ma:hidden="true" ma:list="{6a8a5525-f7e2-415a-a65d-d1181ab3d15b}" ma:internalName="TaxCatchAll" ma:showField="CatchAllData" ma:web="86ef8e9a-2d70-4b27-ad38-ddf9b6987504">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66f0e6ae-485d-4e3f-9016-068b00210997"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DateTaken" ma:index="12" nillable="true" ma:displayName="MediaServiceDateTaken" ma:hidden="true" ma:indexed="true" ma:internalName="MediaServiceDateTaken" ma:readOnly="true">
      <xsd:simpleType>
        <xsd:restriction base="dms:Text"/>
      </xsd:simpleType>
    </xsd:element>
    <xsd:element name="MediaLengthInSeconds" ma:index="13" nillable="true" ma:displayName="MediaLengthInSeconds" ma:hidden="true" ma:internalName="MediaLengthInSeconds" ma:readOnly="true">
      <xsd:simpleType>
        <xsd:restriction base="dms:Unknown"/>
      </xsd:simpleType>
    </xsd:element>
    <xsd:element name="MediaServiceObjectDetectorVersions" ma:index="14" nillable="true" ma:displayName="MediaServiceObjectDetectorVersions" ma:hidden="true" ma:indexed="true" ma:internalName="MediaServiceObjectDetectorVersions"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lcf76f155ced4ddcb4097134ff3c332f" ma:index="18" nillable="true" ma:taxonomy="true" ma:internalName="lcf76f155ced4ddcb4097134ff3c332f" ma:taxonomyFieldName="MediaServiceImageTags" ma:displayName="Image Tags" ma:readOnly="false" ma:fieldId="{5cf76f15-5ced-4ddc-b409-7134ff3c332f}" ma:taxonomyMulti="true" ma:sspId="1c7b8de2-9af4-4efa-8d74-aa3569be542b" ma:termSetId="09814cd3-568e-fe90-9814-8d621ff8fb84" ma:anchorId="fba54fb3-c3e1-fe81-a776-ca4b69148c4d" ma:open="true" ma:isKeyword="false">
      <xsd:complexType>
        <xsd:sequence>
          <xsd:element ref="pc:Terms" minOccurs="0" maxOccurs="1"/>
        </xsd:sequence>
      </xsd:complexType>
    </xsd:element>
    <xsd:element name="MediaServiceOCR" ma:index="20" nillable="true" ma:displayName="Extracted Text" ma:internalName="MediaServiceOCR" ma:readOnly="true">
      <xsd:simpleType>
        <xsd:restriction base="dms:Note">
          <xsd:maxLength value="255"/>
        </xsd:restriction>
      </xsd:simpleType>
    </xsd:element>
    <xsd:element name="MediaServiceSearchProperties" ma:index="21"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B770A7CB-EA9A-4817-97B6-47852C21F822}">
  <ds:schemaRefs>
    <ds:schemaRef ds:uri="http://schemas.microsoft.com/office/2006/metadata/properties"/>
    <ds:schemaRef ds:uri="http://schemas.microsoft.com/office/infopath/2007/PartnerControls"/>
    <ds:schemaRef ds:uri="66f0e6ae-485d-4e3f-9016-068b00210997"/>
    <ds:schemaRef ds:uri="86ef8e9a-2d70-4b27-ad38-ddf9b6987504"/>
  </ds:schemaRefs>
</ds:datastoreItem>
</file>

<file path=customXml/itemProps2.xml><?xml version="1.0" encoding="utf-8"?>
<ds:datastoreItem xmlns:ds="http://schemas.openxmlformats.org/officeDocument/2006/customXml" ds:itemID="{869204FC-9BA4-48F9-9F0A-516DFD87AD4B}">
  <ds:schemaRefs>
    <ds:schemaRef ds:uri="http://schemas.microsoft.com/sharepoint/v3/contenttype/forms"/>
  </ds:schemaRefs>
</ds:datastoreItem>
</file>

<file path=customXml/itemProps3.xml><?xml version="1.0" encoding="utf-8"?>
<ds:datastoreItem xmlns:ds="http://schemas.openxmlformats.org/officeDocument/2006/customXml" ds:itemID="{57B9C07B-9054-4064-BAE8-F70729FE048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6ef8e9a-2d70-4b27-ad38-ddf9b6987504"/>
    <ds:schemaRef ds:uri="66f0e6ae-485d-4e3f-9016-068b0021099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306</TotalTime>
  <Pages>9</Pages>
  <Words>15801</Words>
  <Characters>9007</Characters>
  <Application>Microsoft Office Word</Application>
  <DocSecurity>0</DocSecurity>
  <Lines>75</Lines>
  <Paragraphs>49</Paragraphs>
  <ScaleCrop>false</ScaleCrop>
  <HeadingPairs>
    <vt:vector size="4" baseType="variant">
      <vt:variant>
        <vt:lpstr>Title</vt:lpstr>
      </vt:variant>
      <vt:variant>
        <vt:i4>1</vt:i4>
      </vt:variant>
      <vt:variant>
        <vt:lpstr>Nosaukums</vt:lpstr>
      </vt:variant>
      <vt:variant>
        <vt:i4>1</vt:i4>
      </vt:variant>
    </vt:vector>
  </HeadingPairs>
  <TitlesOfParts>
    <vt:vector size="2" baseType="lpstr">
      <vt:lpstr/>
      <vt:lpstr/>
    </vt:vector>
  </TitlesOfParts>
  <Company/>
  <LinksUpToDate>false</LinksUpToDate>
  <CharactersWithSpaces>24759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Natālija Zvīdriņa</dc:creator>
  <cp:lastModifiedBy>Natālija Zvīdriņa</cp:lastModifiedBy>
  <cp:revision>20</cp:revision>
  <cp:lastPrinted>2025-01-27T10:35:00Z</cp:lastPrinted>
  <dcterms:created xsi:type="dcterms:W3CDTF">2024-05-22T15:40:00Z</dcterms:created>
  <dcterms:modified xsi:type="dcterms:W3CDTF">2025-01-30T09:44:00Z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0x0101002B9DF15F499298428B3727DE1C849A66</vt:lpwstr>
  </property>
</Properties>
</file>