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8A41" w14:textId="77777777" w:rsidR="00734D68" w:rsidRPr="00651516" w:rsidRDefault="00000000" w:rsidP="00734D68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14:paraId="34A888C0" w14:textId="77777777" w:rsidR="00734D68" w:rsidRPr="00651516" w:rsidRDefault="00000000" w:rsidP="00734D68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14:paraId="4092FCE0" w14:textId="77777777" w:rsidR="00734D68" w:rsidRPr="0040002E" w:rsidRDefault="00000000" w:rsidP="00734D68">
      <w:pPr>
        <w:jc w:val="right"/>
        <w:rPr>
          <w:rFonts w:eastAsia="Calibri"/>
          <w:b w:val="0"/>
          <w:bCs/>
          <w:color w:val="FF0000"/>
          <w:sz w:val="24"/>
          <w:szCs w:val="24"/>
          <w:highlight w:val="yellow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C36A06">
        <w:rPr>
          <w:rFonts w:eastAsia="Calibri"/>
          <w:b w:val="0"/>
          <w:bCs/>
          <w:sz w:val="24"/>
          <w:szCs w:val="24"/>
        </w:rPr>
        <w:t>6</w:t>
      </w:r>
      <w:r w:rsidRPr="00651516">
        <w:rPr>
          <w:rFonts w:eastAsia="Calibri"/>
          <w:b w:val="0"/>
          <w:bCs/>
          <w:sz w:val="24"/>
          <w:szCs w:val="24"/>
        </w:rPr>
        <w:t xml:space="preserve">.gada </w:t>
      </w:r>
      <w:r w:rsidR="00D36702">
        <w:rPr>
          <w:rFonts w:eastAsia="Calibri"/>
          <w:b w:val="0"/>
          <w:bCs/>
          <w:sz w:val="24"/>
          <w:szCs w:val="24"/>
        </w:rPr>
        <w:t xml:space="preserve"> </w:t>
      </w:r>
      <w:r w:rsidR="000A3C90">
        <w:rPr>
          <w:rFonts w:eastAsia="Calibri"/>
          <w:b w:val="0"/>
          <w:bCs/>
          <w:color w:val="auto"/>
          <w:sz w:val="24"/>
          <w:szCs w:val="24"/>
        </w:rPr>
        <w:t>5.marta</w:t>
      </w:r>
      <w:r w:rsidR="00D36702" w:rsidRPr="001F13E7"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D36702">
        <w:rPr>
          <w:rFonts w:eastAsia="Calibri"/>
          <w:b w:val="0"/>
          <w:bCs/>
          <w:sz w:val="24"/>
          <w:szCs w:val="24"/>
        </w:rPr>
        <w:t>sēdē</w:t>
      </w:r>
    </w:p>
    <w:p w14:paraId="61FC0706" w14:textId="77777777" w:rsidR="000D1C98" w:rsidRPr="00D36702" w:rsidRDefault="00000000" w:rsidP="000D1C98">
      <w:pPr>
        <w:jc w:val="right"/>
        <w:rPr>
          <w:rFonts w:eastAsia="Calibri"/>
          <w:b w:val="0"/>
          <w:bCs/>
          <w:color w:val="000000" w:themeColor="text1"/>
          <w:sz w:val="22"/>
          <w:szCs w:val="22"/>
        </w:rPr>
      </w:pPr>
      <w:r w:rsidRPr="00D36702">
        <w:rPr>
          <w:rFonts w:eastAsia="Calibri"/>
          <w:b w:val="0"/>
          <w:bCs/>
          <w:color w:val="000000" w:themeColor="text1"/>
          <w:sz w:val="22"/>
          <w:szCs w:val="22"/>
        </w:rPr>
        <w:t>(protokols Nr</w:t>
      </w:r>
      <w:r w:rsidRPr="009D4C17">
        <w:rPr>
          <w:rFonts w:eastAsia="Calibri"/>
          <w:b w:val="0"/>
          <w:bCs/>
          <w:color w:val="auto"/>
          <w:sz w:val="22"/>
          <w:szCs w:val="22"/>
        </w:rPr>
        <w:t>.</w:t>
      </w:r>
      <w:r w:rsidR="0073654C">
        <w:rPr>
          <w:rFonts w:eastAsia="Calibri"/>
          <w:b w:val="0"/>
          <w:bCs/>
          <w:color w:val="auto"/>
          <w:sz w:val="22"/>
          <w:szCs w:val="22"/>
        </w:rPr>
        <w:t>2026/DS-4, 13.</w:t>
      </w:r>
      <w:r w:rsidR="009D4C17" w:rsidRPr="009D4C17">
        <w:rPr>
          <w:rFonts w:eastAsia="Calibri"/>
          <w:b w:val="0"/>
          <w:bCs/>
          <w:color w:val="auto"/>
          <w:sz w:val="22"/>
          <w:szCs w:val="22"/>
        </w:rPr>
        <w:t>§, 4</w:t>
      </w:r>
      <w:r w:rsidRPr="00D36702">
        <w:rPr>
          <w:rFonts w:eastAsia="Calibri"/>
          <w:b w:val="0"/>
          <w:bCs/>
          <w:color w:val="000000" w:themeColor="text1"/>
          <w:sz w:val="22"/>
          <w:szCs w:val="22"/>
        </w:rPr>
        <w:t>.punkts)</w:t>
      </w:r>
    </w:p>
    <w:p w14:paraId="1CA64F5E" w14:textId="77777777" w:rsidR="00734D68" w:rsidRPr="00F569C4" w:rsidRDefault="00000000" w:rsidP="00734D68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14:paraId="333F88FD" w14:textId="77777777" w:rsidR="00734D68" w:rsidRPr="005F095F" w:rsidRDefault="00734D68" w:rsidP="00734D68">
      <w:pPr>
        <w:rPr>
          <w:rFonts w:eastAsia="TimesNewRoman"/>
          <w:b w:val="0"/>
          <w:bCs/>
          <w:sz w:val="24"/>
          <w:szCs w:val="24"/>
        </w:rPr>
      </w:pPr>
    </w:p>
    <w:p w14:paraId="27772276" w14:textId="77777777" w:rsidR="00734D68" w:rsidRDefault="00000000" w:rsidP="00734D68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B42760">
        <w:rPr>
          <w:rFonts w:eastAsia="TimesNewRoman"/>
          <w:b w:val="0"/>
          <w:bCs/>
          <w:sz w:val="24"/>
          <w:szCs w:val="24"/>
        </w:rPr>
        <w:t>202</w:t>
      </w:r>
      <w:r w:rsidR="00C36A06">
        <w:rPr>
          <w:rFonts w:eastAsia="TimesNewRoman"/>
          <w:b w:val="0"/>
          <w:bCs/>
          <w:sz w:val="24"/>
          <w:szCs w:val="24"/>
        </w:rPr>
        <w:t>6</w:t>
      </w:r>
      <w:r w:rsidR="00B42760">
        <w:rPr>
          <w:rFonts w:eastAsia="TimesNewRoman"/>
          <w:b w:val="0"/>
          <w:bCs/>
          <w:sz w:val="24"/>
          <w:szCs w:val="24"/>
        </w:rPr>
        <w:t>.</w:t>
      </w:r>
      <w:r w:rsidRPr="005F095F">
        <w:rPr>
          <w:rFonts w:eastAsia="TimesNewRoman"/>
          <w:b w:val="0"/>
          <w:bCs/>
          <w:sz w:val="24"/>
          <w:szCs w:val="24"/>
        </w:rPr>
        <w:t xml:space="preserve"> gada _______</w:t>
      </w:r>
    </w:p>
    <w:p w14:paraId="2071C676" w14:textId="77777777" w:rsidR="00734D68" w:rsidRPr="00E27D7D" w:rsidRDefault="00734D68" w:rsidP="00734D68">
      <w:pPr>
        <w:rPr>
          <w:rFonts w:eastAsia="TimesNewRoman"/>
          <w:b w:val="0"/>
          <w:bCs/>
          <w:color w:val="auto"/>
          <w:sz w:val="24"/>
          <w:szCs w:val="24"/>
        </w:rPr>
      </w:pPr>
    </w:p>
    <w:p w14:paraId="47D75C2E" w14:textId="77777777" w:rsidR="00734D68" w:rsidRPr="007A54C3" w:rsidRDefault="00000000" w:rsidP="00734D68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="00BA5A91">
        <w:rPr>
          <w:bCs/>
          <w:color w:val="auto"/>
          <w:sz w:val="24"/>
          <w:szCs w:val="24"/>
          <w:lang w:eastAsia="en-US" w:bidi="ar-SA"/>
        </w:rPr>
        <w:t>Guntara Skudras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C36A0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14:paraId="2BF83D35" w14:textId="77777777" w:rsidR="00A86D92" w:rsidRPr="00E27D7D" w:rsidRDefault="00A86D92" w:rsidP="00A86D92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14:paraId="6D50F4B1" w14:textId="77777777" w:rsidR="00A86D92" w:rsidRPr="00E27D7D" w:rsidRDefault="00000000" w:rsidP="00A86D92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14:paraId="55C80D5B" w14:textId="77777777" w:rsidR="00A86D92" w:rsidRDefault="00000000" w:rsidP="008B50C6">
      <w:pPr>
        <w:pStyle w:val="Sarakstarindkopa"/>
        <w:numPr>
          <w:ilvl w:val="1"/>
          <w:numId w:val="5"/>
        </w:numPr>
        <w:suppressAutoHyphens w:val="0"/>
        <w:ind w:left="426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</w:t>
      </w:r>
      <w:bookmarkEnd w:id="1"/>
      <w:r w:rsidR="00F1714E" w:rsidRPr="00F1714E">
        <w:t xml:space="preserve"> </w:t>
      </w:r>
      <w:r w:rsidR="00F1714E" w:rsidRPr="00F1714E">
        <w:rPr>
          <w:b w:val="0"/>
          <w:bCs/>
          <w:sz w:val="24"/>
          <w:szCs w:val="24"/>
          <w:lang w:eastAsia="lv-LV"/>
        </w:rPr>
        <w:t>kas atrodas “Kadiķi”1, Laizāni, Nautrēnu pagasts, Rēzeknes novads, LV-4652, kadastra Nr. 6876 900 0033, kas sastāv no dzīvokļa īpašuma ar kopējo platību 58,0 m² un pie dzīvokļa īpašuma piederošo kopīpašuma 5800/11600 domājamo daļu no daudzdzīvokļu mājas (kadastra apzīmējums 6876 002 0071 001), 6 palīgēkām (kadastra apzīmējumi 6876 002 0071 002; 6876 002 0071 003; 6876 002 0071 004; 6876 002 0071 005; 6876 002 0071 006 un 68760020071 007)</w:t>
      </w:r>
      <w:r w:rsidR="00C36A06" w:rsidRPr="00C36A06">
        <w:rPr>
          <w:b w:val="0"/>
          <w:bCs/>
          <w:sz w:val="24"/>
          <w:szCs w:val="24"/>
          <w:lang w:eastAsia="lv-LV"/>
        </w:rPr>
        <w:t>.</w:t>
      </w:r>
    </w:p>
    <w:p w14:paraId="76B53AFD" w14:textId="77777777" w:rsidR="00A86D92" w:rsidRPr="00924682" w:rsidRDefault="00000000" w:rsidP="00A86D92">
      <w:pPr>
        <w:pStyle w:val="Sarakstarindkopa"/>
        <w:numPr>
          <w:ilvl w:val="1"/>
          <w:numId w:val="5"/>
        </w:numPr>
        <w:suppressAutoHyphens w:val="0"/>
        <w:ind w:left="426" w:hanging="426"/>
        <w:jc w:val="both"/>
      </w:pPr>
      <w:bookmarkStart w:id="2" w:name="_Hlk38379838"/>
      <w:bookmarkStart w:id="3" w:name="_Hlk38373275"/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</w:t>
      </w:r>
      <w:bookmarkEnd w:id="2"/>
      <w:bookmarkEnd w:id="3"/>
      <w:r w:rsidR="00F1714E" w:rsidRPr="00F1714E">
        <w:rPr>
          <w:b w:val="0"/>
          <w:bCs/>
          <w:iCs/>
          <w:color w:val="auto"/>
          <w:sz w:val="24"/>
          <w:szCs w:val="24"/>
          <w:lang w:eastAsia="lv-LV"/>
        </w:rPr>
        <w:t xml:space="preserve">ir reģistrēts Rēzeknes zemesgrāmatu nodaļā, Nautrēnu pagasta zemesgrāmatas nodalījuma Nr. 176 - 1, ar Latgales rajona tiesas tiesneses Vijas </w:t>
      </w:r>
      <w:proofErr w:type="spellStart"/>
      <w:r w:rsidR="00F1714E" w:rsidRPr="00F1714E">
        <w:rPr>
          <w:b w:val="0"/>
          <w:bCs/>
          <w:iCs/>
          <w:color w:val="auto"/>
          <w:sz w:val="24"/>
          <w:szCs w:val="24"/>
          <w:lang w:eastAsia="lv-LV"/>
        </w:rPr>
        <w:t>Pužules</w:t>
      </w:r>
      <w:proofErr w:type="spellEnd"/>
      <w:r w:rsidR="00F1714E" w:rsidRPr="00F1714E">
        <w:rPr>
          <w:b w:val="0"/>
          <w:bCs/>
          <w:iCs/>
          <w:color w:val="auto"/>
          <w:sz w:val="24"/>
          <w:szCs w:val="24"/>
          <w:lang w:eastAsia="lv-LV"/>
        </w:rPr>
        <w:t xml:space="preserve"> 2019.gada 18.septembra lēmumu (žurnāla Nr. 300004962903) uz Rēzeknes novada pašvaldības, nodokļu maksātāja reģistrācijas Nr.90009112679, vārda.</w:t>
      </w:r>
    </w:p>
    <w:p w14:paraId="21A5016F" w14:textId="77777777" w:rsidR="00924682" w:rsidRDefault="00924682" w:rsidP="00A86D92">
      <w:pPr>
        <w:pStyle w:val="Default"/>
        <w:jc w:val="center"/>
        <w:rPr>
          <w:rFonts w:ascii="Times New Roman" w:hAnsi="Times New Roman" w:cs="Times New Roman"/>
        </w:rPr>
      </w:pPr>
    </w:p>
    <w:p w14:paraId="5234CD2D" w14:textId="77777777" w:rsidR="00A86D92" w:rsidRPr="00B541BC" w:rsidRDefault="00000000" w:rsidP="00A86D92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14:paraId="4EB0069F" w14:textId="77777777" w:rsidR="00A86D92" w:rsidRPr="00C642C1" w:rsidRDefault="0000000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="002D22DB" w:rsidRPr="00C642C1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C36A06">
        <w:rPr>
          <w:rFonts w:ascii="Times New Roman" w:hAnsi="Times New Roman" w:cs="Times New Roman"/>
        </w:rPr>
        <w:t>6</w:t>
      </w:r>
      <w:r w:rsidR="002D22DB" w:rsidRPr="00C642C1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14:paraId="51FAE258" w14:textId="77777777" w:rsidR="00A86D92" w:rsidRPr="00C642C1" w:rsidRDefault="0000000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="001F13E7" w:rsidRPr="001F13E7">
        <w:rPr>
          <w:rFonts w:ascii="Times New Roman" w:hAnsi="Times New Roman" w:cs="Times New Roman"/>
        </w:rPr>
        <w:t>EUR</w:t>
      </w:r>
      <w:r w:rsidR="00C36A06">
        <w:rPr>
          <w:rFonts w:ascii="Times New Roman" w:hAnsi="Times New Roman" w:cs="Times New Roman"/>
        </w:rPr>
        <w:t xml:space="preserve"> </w:t>
      </w:r>
      <w:r w:rsidR="00F1714E">
        <w:rPr>
          <w:rFonts w:ascii="Times New Roman" w:hAnsi="Times New Roman" w:cs="Times New Roman"/>
        </w:rPr>
        <w:t>2</w:t>
      </w:r>
      <w:r w:rsidR="00C36A06" w:rsidRPr="00C36A06">
        <w:rPr>
          <w:rFonts w:ascii="Times New Roman" w:hAnsi="Times New Roman" w:cs="Times New Roman"/>
        </w:rPr>
        <w:t>00,00 (</w:t>
      </w:r>
      <w:r w:rsidR="00F1714E">
        <w:rPr>
          <w:rFonts w:ascii="Times New Roman" w:hAnsi="Times New Roman" w:cs="Times New Roman"/>
        </w:rPr>
        <w:t>divi</w:t>
      </w:r>
      <w:r w:rsidR="00C36A06" w:rsidRPr="00C36A06">
        <w:rPr>
          <w:rFonts w:ascii="Times New Roman" w:hAnsi="Times New Roman" w:cs="Times New Roman"/>
        </w:rPr>
        <w:t xml:space="preserve"> simti  </w:t>
      </w:r>
      <w:proofErr w:type="spellStart"/>
      <w:r w:rsidR="00C36A06" w:rsidRPr="00C36A06">
        <w:rPr>
          <w:rFonts w:ascii="Times New Roman" w:hAnsi="Times New Roman" w:cs="Times New Roman"/>
        </w:rPr>
        <w:t>euro</w:t>
      </w:r>
      <w:proofErr w:type="spellEnd"/>
      <w:r w:rsidR="00C36A06" w:rsidRPr="00C36A06">
        <w:rPr>
          <w:rFonts w:ascii="Times New Roman" w:hAnsi="Times New Roman" w:cs="Times New Roman"/>
        </w:rPr>
        <w:t xml:space="preserve">, 00 centi), </w:t>
      </w:r>
      <w:r w:rsidRPr="00C642C1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14:paraId="20CA28FB" w14:textId="77777777" w:rsidR="00A86D92" w:rsidRPr="00C642C1" w:rsidRDefault="0000000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="00B4606C"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="00B4606C"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="00B4606C"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14:paraId="0692E4F4" w14:textId="77777777" w:rsidR="00A86D92" w:rsidRPr="00C642C1" w:rsidRDefault="0000000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14:paraId="4C6607DB" w14:textId="77777777" w:rsidR="00A86D92" w:rsidRPr="00B541BC" w:rsidRDefault="00A86D92" w:rsidP="00A86D92">
      <w:pPr>
        <w:pStyle w:val="Default"/>
        <w:ind w:left="1080"/>
        <w:rPr>
          <w:sz w:val="23"/>
          <w:szCs w:val="23"/>
        </w:rPr>
      </w:pPr>
    </w:p>
    <w:p w14:paraId="014844A3" w14:textId="77777777" w:rsidR="00A86D92" w:rsidRPr="00E27D7D" w:rsidRDefault="00000000" w:rsidP="00A86D92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14:paraId="4C7DE027" w14:textId="77777777" w:rsidR="00A86D92" w:rsidRPr="00D46BDB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14:paraId="140D2831" w14:textId="77777777" w:rsidR="00A86D92" w:rsidRPr="00D46BDB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14:paraId="57CB8D95" w14:textId="77777777" w:rsidR="00A86D92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14:paraId="3703664B" w14:textId="77777777" w:rsidR="00A86D92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14:paraId="18782AEF" w14:textId="77777777" w:rsidR="00A86D92" w:rsidRPr="00B25E7F" w:rsidRDefault="0000000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lastRenderedPageBreak/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14:paraId="5513C493" w14:textId="77777777" w:rsidR="00A86D92" w:rsidRDefault="00A86D92" w:rsidP="00A86D92">
      <w:pPr>
        <w:pStyle w:val="Default"/>
        <w:jc w:val="both"/>
        <w:rPr>
          <w:rFonts w:ascii="Times New Roman" w:hAnsi="Times New Roman" w:cs="Times New Roman"/>
        </w:rPr>
      </w:pPr>
    </w:p>
    <w:p w14:paraId="72692C9E" w14:textId="77777777" w:rsidR="008963A2" w:rsidRPr="00D46BDB" w:rsidRDefault="008963A2" w:rsidP="00A86D92">
      <w:pPr>
        <w:pStyle w:val="Default"/>
        <w:jc w:val="both"/>
        <w:rPr>
          <w:rFonts w:ascii="Times New Roman" w:hAnsi="Times New Roman" w:cs="Times New Roman"/>
        </w:rPr>
      </w:pPr>
    </w:p>
    <w:p w14:paraId="47E194D8" w14:textId="77777777" w:rsidR="00A86D92" w:rsidRPr="00E27D7D" w:rsidRDefault="00000000" w:rsidP="00A86D92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14:paraId="34180E97" w14:textId="77777777" w:rsidR="00A86D92" w:rsidRPr="00164648" w:rsidRDefault="00000000" w:rsidP="00A86D92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14:paraId="19F494D1" w14:textId="77777777" w:rsidR="00A86D92" w:rsidRPr="00DA5C01" w:rsidRDefault="00000000" w:rsidP="00A86D92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14:paraId="56FDE739" w14:textId="77777777" w:rsidR="00A86D92" w:rsidRDefault="00000000" w:rsidP="00A86D92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14:paraId="659C529E" w14:textId="77777777" w:rsidR="00A86D92" w:rsidRPr="00164648" w:rsidRDefault="00A86D92" w:rsidP="00A86D92">
      <w:pPr>
        <w:pStyle w:val="Default"/>
        <w:ind w:left="567"/>
        <w:jc w:val="both"/>
        <w:rPr>
          <w:rFonts w:ascii="Times New Roman" w:hAnsi="Times New Roman" w:cs="Times New Roman"/>
        </w:rPr>
      </w:pPr>
    </w:p>
    <w:p w14:paraId="391A5A3B" w14:textId="77777777" w:rsidR="00A86D92" w:rsidRPr="00C30CD7" w:rsidRDefault="00000000" w:rsidP="00A86D92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14:paraId="43045350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14:paraId="17FD01A7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14:paraId="6035121F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14:paraId="6F0520C7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14:paraId="32C75340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14:paraId="23D199E4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14:paraId="3B0978ED" w14:textId="77777777" w:rsidR="00A86D92" w:rsidRPr="00A67077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14:paraId="7570DF4E" w14:textId="77777777" w:rsidR="00A86D92" w:rsidRPr="00EA75C7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14:paraId="0633B0EB" w14:textId="77777777" w:rsidR="00A86D92" w:rsidRDefault="0000000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14:paraId="0816EB56" w14:textId="77777777" w:rsidR="00A86D92" w:rsidRPr="007438F7" w:rsidRDefault="00000000" w:rsidP="00A86D92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14:paraId="724EEC0D" w14:textId="77777777" w:rsidR="00A86D92" w:rsidRPr="00EA75C7" w:rsidRDefault="00A86D92" w:rsidP="00A86D92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8C29633" w14:textId="77777777" w:rsidR="00A86D92" w:rsidRPr="00C30CD7" w:rsidRDefault="00000000" w:rsidP="00A86D92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14:paraId="3C08F686" w14:textId="77777777" w:rsidR="00A410DD" w:rsidRDefault="00000000" w:rsidP="00A86D92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14:paraId="3EE63DE8" w14:textId="77777777" w:rsidR="004C24D6" w:rsidRDefault="004C24D6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21E1D535" w14:textId="77777777" w:rsidR="00A86D92" w:rsidRPr="00C30CD7" w:rsidRDefault="00000000" w:rsidP="00A86D92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14:paraId="6FBD299E" w14:textId="77777777" w:rsidR="00A86D92" w:rsidRPr="00C30CD7" w:rsidRDefault="00A86D92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46F28AA9" w14:textId="77777777" w:rsidR="00A86D92" w:rsidRPr="00C30CD7" w:rsidRDefault="00A86D92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61BE3D66" w14:textId="77777777" w:rsidR="00A86D92" w:rsidRPr="00C30CD7" w:rsidRDefault="00A86D92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5A46613F" w14:textId="77777777" w:rsidR="00A86D92" w:rsidRPr="00C30CD7" w:rsidRDefault="00000000" w:rsidP="00A86D92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14:paraId="590D9D01" w14:textId="77777777" w:rsidR="00A86D92" w:rsidRDefault="00000000" w:rsidP="00A86D92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proofErr w:type="spellStart"/>
      <w:r w:rsidR="00BA5A91">
        <w:rPr>
          <w:rFonts w:eastAsia="TimesNewRoman"/>
          <w:b w:val="0"/>
          <w:bCs/>
          <w:sz w:val="24"/>
          <w:szCs w:val="24"/>
        </w:rPr>
        <w:t>G.Skudra</w:t>
      </w:r>
      <w:proofErr w:type="spellEnd"/>
      <w:r>
        <w:rPr>
          <w:rFonts w:eastAsia="TimesNewRoman"/>
          <w:b w:val="0"/>
          <w:bCs/>
          <w:sz w:val="24"/>
          <w:szCs w:val="24"/>
        </w:rPr>
        <w:t>/</w:t>
      </w:r>
    </w:p>
    <w:p w14:paraId="7A4D1783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7A8BE8DC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64712BE4" w14:textId="77777777" w:rsidR="00924682" w:rsidRPr="00924682" w:rsidRDefault="00924682" w:rsidP="00F1714E">
      <w:pPr>
        <w:rPr>
          <w:rFonts w:eastAsia="TimesNewRoman"/>
          <w:sz w:val="24"/>
          <w:szCs w:val="24"/>
        </w:rPr>
      </w:pPr>
    </w:p>
    <w:sectPr w:rsidR="00924682" w:rsidRPr="00924682" w:rsidSect="00A71E7E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E36E" w14:textId="77777777" w:rsidR="009C080B" w:rsidRDefault="009C080B">
      <w:r>
        <w:separator/>
      </w:r>
    </w:p>
  </w:endnote>
  <w:endnote w:type="continuationSeparator" w:id="0">
    <w:p w14:paraId="6BCFDE20" w14:textId="77777777" w:rsidR="009C080B" w:rsidRDefault="009C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A515" w14:textId="77777777" w:rsidR="00A742E2" w:rsidRDefault="00000000">
    <w:pPr>
      <w:jc w:val="center"/>
    </w:pPr>
    <w:r>
      <w:rPr>
        <w:rFonts w:ascii="Calibri" w:eastAsia="Calibri" w:hAnsi="Calibri" w:cs="Calibri"/>
        <w:b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ECB7" w14:textId="77777777" w:rsidR="009E22E5" w:rsidRDefault="00000000">
    <w:r>
      <w:t xml:space="preserve">          </w:t>
    </w:r>
    <w:r>
      <w:t>Šis dokuments ir parakstīts ar drošu elektronisko parakstu un satur laika zīmogu</w:t>
    </w:r>
  </w:p>
  <w:p w14:paraId="0E58E51A" w14:textId="77777777" w:rsidR="00F7488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BC76" w14:textId="77777777" w:rsidR="009C080B" w:rsidRDefault="009C080B">
      <w:r>
        <w:separator/>
      </w:r>
    </w:p>
  </w:footnote>
  <w:footnote w:type="continuationSeparator" w:id="0">
    <w:p w14:paraId="4381BA57" w14:textId="77777777" w:rsidR="009C080B" w:rsidRDefault="009C0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499003056">
    <w:abstractNumId w:val="1"/>
  </w:num>
  <w:num w:numId="2" w16cid:durableId="1132941695">
    <w:abstractNumId w:val="2"/>
  </w:num>
  <w:num w:numId="3" w16cid:durableId="1000812928">
    <w:abstractNumId w:val="0"/>
  </w:num>
  <w:num w:numId="4" w16cid:durableId="1783454961">
    <w:abstractNumId w:val="3"/>
  </w:num>
  <w:num w:numId="5" w16cid:durableId="180762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07066"/>
    <w:rsid w:val="00083CF8"/>
    <w:rsid w:val="000A3C90"/>
    <w:rsid w:val="000D0ACA"/>
    <w:rsid w:val="000D1C98"/>
    <w:rsid w:val="00124D4B"/>
    <w:rsid w:val="00160355"/>
    <w:rsid w:val="00164648"/>
    <w:rsid w:val="001C249D"/>
    <w:rsid w:val="001E2E36"/>
    <w:rsid w:val="001F13E7"/>
    <w:rsid w:val="001F77BF"/>
    <w:rsid w:val="00233986"/>
    <w:rsid w:val="00237979"/>
    <w:rsid w:val="002A4CF1"/>
    <w:rsid w:val="002B246E"/>
    <w:rsid w:val="002D22DB"/>
    <w:rsid w:val="002D7760"/>
    <w:rsid w:val="002F5149"/>
    <w:rsid w:val="00305772"/>
    <w:rsid w:val="00344373"/>
    <w:rsid w:val="0040002E"/>
    <w:rsid w:val="004030EB"/>
    <w:rsid w:val="00451AB7"/>
    <w:rsid w:val="004804D7"/>
    <w:rsid w:val="004B1BDF"/>
    <w:rsid w:val="004B7589"/>
    <w:rsid w:val="004C24D6"/>
    <w:rsid w:val="005062EC"/>
    <w:rsid w:val="0050750A"/>
    <w:rsid w:val="005A2C6E"/>
    <w:rsid w:val="005B7B23"/>
    <w:rsid w:val="005E6653"/>
    <w:rsid w:val="005F095F"/>
    <w:rsid w:val="00651516"/>
    <w:rsid w:val="00663488"/>
    <w:rsid w:val="006741D2"/>
    <w:rsid w:val="006907FD"/>
    <w:rsid w:val="00693283"/>
    <w:rsid w:val="006B1A06"/>
    <w:rsid w:val="006D099D"/>
    <w:rsid w:val="00706EA1"/>
    <w:rsid w:val="00725573"/>
    <w:rsid w:val="007343C0"/>
    <w:rsid w:val="00734D68"/>
    <w:rsid w:val="0073654C"/>
    <w:rsid w:val="007438F7"/>
    <w:rsid w:val="00771C02"/>
    <w:rsid w:val="00787A95"/>
    <w:rsid w:val="007A54C3"/>
    <w:rsid w:val="007C2E93"/>
    <w:rsid w:val="0081082D"/>
    <w:rsid w:val="00864A34"/>
    <w:rsid w:val="0088006A"/>
    <w:rsid w:val="008963A2"/>
    <w:rsid w:val="008B50C6"/>
    <w:rsid w:val="008E5C29"/>
    <w:rsid w:val="008F03D1"/>
    <w:rsid w:val="009047A7"/>
    <w:rsid w:val="00924682"/>
    <w:rsid w:val="0093031F"/>
    <w:rsid w:val="009868CF"/>
    <w:rsid w:val="009935F7"/>
    <w:rsid w:val="00995081"/>
    <w:rsid w:val="009A0392"/>
    <w:rsid w:val="009C080B"/>
    <w:rsid w:val="009D2288"/>
    <w:rsid w:val="009D4C17"/>
    <w:rsid w:val="009D62FC"/>
    <w:rsid w:val="009D6764"/>
    <w:rsid w:val="009E22E5"/>
    <w:rsid w:val="009F23B7"/>
    <w:rsid w:val="00A410DD"/>
    <w:rsid w:val="00A65DF2"/>
    <w:rsid w:val="00A67077"/>
    <w:rsid w:val="00A71E7E"/>
    <w:rsid w:val="00A742E2"/>
    <w:rsid w:val="00A86D92"/>
    <w:rsid w:val="00B25E7F"/>
    <w:rsid w:val="00B30786"/>
    <w:rsid w:val="00B42760"/>
    <w:rsid w:val="00B4606C"/>
    <w:rsid w:val="00B541BC"/>
    <w:rsid w:val="00B56401"/>
    <w:rsid w:val="00B966A4"/>
    <w:rsid w:val="00BA5A91"/>
    <w:rsid w:val="00C30CD7"/>
    <w:rsid w:val="00C36A06"/>
    <w:rsid w:val="00C3738F"/>
    <w:rsid w:val="00C63BF8"/>
    <w:rsid w:val="00C642C1"/>
    <w:rsid w:val="00C92493"/>
    <w:rsid w:val="00CB441D"/>
    <w:rsid w:val="00D048A9"/>
    <w:rsid w:val="00D36702"/>
    <w:rsid w:val="00D46BDB"/>
    <w:rsid w:val="00D65E39"/>
    <w:rsid w:val="00D840F2"/>
    <w:rsid w:val="00DA0C7B"/>
    <w:rsid w:val="00DA5C01"/>
    <w:rsid w:val="00DA6D32"/>
    <w:rsid w:val="00DA7D4C"/>
    <w:rsid w:val="00DF3112"/>
    <w:rsid w:val="00E10C09"/>
    <w:rsid w:val="00E27D7D"/>
    <w:rsid w:val="00E4205E"/>
    <w:rsid w:val="00E50925"/>
    <w:rsid w:val="00EA75C7"/>
    <w:rsid w:val="00EB0952"/>
    <w:rsid w:val="00ED19D7"/>
    <w:rsid w:val="00F1714E"/>
    <w:rsid w:val="00F26022"/>
    <w:rsid w:val="00F569C4"/>
    <w:rsid w:val="00F7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17BC"/>
  <w15:docId w15:val="{4799F570-751B-4E34-8B84-6E859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A86D9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Kjene">
    <w:name w:val="footer"/>
    <w:basedOn w:val="Parasts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3554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Darbinieks</cp:lastModifiedBy>
  <cp:revision>2</cp:revision>
  <dcterms:created xsi:type="dcterms:W3CDTF">2026-03-09T06:58:00Z</dcterms:created>
  <dcterms:modified xsi:type="dcterms:W3CDTF">2026-03-09T06:58:00Z</dcterms:modified>
</cp:coreProperties>
</file>