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164E7151"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164E714A"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164E714B"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164E714C"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164E714D"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164E714E"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164E714F"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164E7150"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ED1655" w:rsidP="008F4F19" w14:paraId="7E2517D0" w14:textId="77777777">
      <w:pPr>
        <w:ind w:right="46"/>
        <w:jc w:val="center"/>
        <w:rPr>
          <w:b/>
          <w:bCs/>
        </w:rPr>
      </w:pPr>
    </w:p>
    <w:p w:rsidR="008F4F19" w:rsidP="008F4F19" w14:paraId="164E7152" w14:textId="745F113C">
      <w:pPr>
        <w:ind w:right="46"/>
        <w:jc w:val="center"/>
        <w:rPr>
          <w:b/>
          <w:bCs/>
        </w:rPr>
      </w:pPr>
      <w:r>
        <w:rPr>
          <w:b/>
          <w:bCs/>
        </w:rPr>
        <w:t xml:space="preserve">Paskaidrojuma raksts </w:t>
      </w:r>
    </w:p>
    <w:p w:rsidR="008F4F19" w:rsidRPr="007E3110" w:rsidP="008F4F19" w14:paraId="164E7153" w14:textId="77777777">
      <w:pPr>
        <w:ind w:right="46"/>
        <w:jc w:val="center"/>
        <w:rPr>
          <w:b/>
          <w:bCs/>
        </w:rPr>
      </w:pPr>
      <w:r>
        <w:rPr>
          <w:b/>
        </w:rPr>
        <w:t xml:space="preserve">Rēzeknes novada pašvaldības saistošajiem noteikumiem </w:t>
      </w:r>
    </w:p>
    <w:p w:rsidR="008F4F19" w:rsidP="008F4F19" w14:paraId="164E7154" w14:textId="16ADFF09">
      <w:pPr>
        <w:jc w:val="center"/>
        <w:rPr>
          <w:b/>
        </w:rPr>
      </w:pPr>
      <w:r>
        <w:rPr>
          <w:b/>
        </w:rPr>
        <w:t>“</w:t>
      </w:r>
      <w:r w:rsidRPr="00552DDA" w:rsidR="00552DDA">
        <w:rPr>
          <w:b/>
        </w:rPr>
        <w:t>Par dzīvojamai mājai funkcionāli nepieciešamā zemes gabala pārskatīšanu”</w:t>
      </w:r>
      <w:r w:rsidR="00085E07">
        <w:rPr>
          <w:b/>
        </w:rPr>
        <w:t xml:space="preserve"> </w:t>
      </w:r>
    </w:p>
    <w:tbl>
      <w:tblPr>
        <w:tblW w:w="9634" w:type="dxa"/>
        <w:tblBorders>
          <w:top w:val="single" w:sz="4" w:space="0" w:color="auto"/>
          <w:left w:val="single" w:sz="4" w:space="0" w:color="auto"/>
          <w:bottom w:val="single" w:sz="4" w:space="0" w:color="auto"/>
          <w:right w:val="single" w:sz="4" w:space="0" w:color="auto"/>
        </w:tblBorders>
        <w:tblLook w:val="0000"/>
      </w:tblPr>
      <w:tblGrid>
        <w:gridCol w:w="2972"/>
        <w:gridCol w:w="6662"/>
      </w:tblGrid>
      <w:tr w14:paraId="164E7157" w14:textId="77777777" w:rsidTr="00ED5028">
        <w:tblPrEx>
          <w:tblW w:w="9634" w:type="dxa"/>
          <w:tblBorders>
            <w:top w:val="single" w:sz="4" w:space="0" w:color="auto"/>
            <w:left w:val="single" w:sz="4" w:space="0" w:color="auto"/>
            <w:bottom w:val="single" w:sz="4" w:space="0" w:color="auto"/>
            <w:right w:val="single" w:sz="4" w:space="0" w:color="auto"/>
          </w:tblBorders>
          <w:tblLook w:val="0000"/>
        </w:tblPrEx>
        <w:tc>
          <w:tcPr>
            <w:tcW w:w="2972" w:type="dxa"/>
            <w:tcBorders>
              <w:top w:val="single" w:sz="4" w:space="0" w:color="auto"/>
              <w:left w:val="single" w:sz="4" w:space="0" w:color="auto"/>
              <w:bottom w:val="single" w:sz="4" w:space="0" w:color="auto"/>
              <w:right w:val="single" w:sz="4" w:space="0" w:color="auto"/>
            </w:tcBorders>
          </w:tcPr>
          <w:p w:rsidR="008F4F19" w:rsidRPr="00A42BD4" w:rsidP="004B5A0D" w14:paraId="164E7155" w14:textId="77777777">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rsidR="008F4F19" w:rsidRPr="00A42BD4" w:rsidP="004B5A0D" w14:paraId="164E7156" w14:textId="77777777">
            <w:pPr>
              <w:pStyle w:val="naisnod"/>
              <w:spacing w:before="0" w:after="0"/>
              <w:rPr>
                <w:sz w:val="22"/>
                <w:szCs w:val="22"/>
                <w:lang w:eastAsia="en-US"/>
              </w:rPr>
            </w:pPr>
            <w:r w:rsidRPr="00A42BD4">
              <w:rPr>
                <w:sz w:val="22"/>
                <w:szCs w:val="22"/>
                <w:lang w:eastAsia="en-US"/>
              </w:rPr>
              <w:t>Norādāmā informācija</w:t>
            </w:r>
          </w:p>
        </w:tc>
      </w:tr>
      <w:tr w14:paraId="164E715A" w14:textId="77777777" w:rsidTr="00381CA1">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58" w14:textId="77777777">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7A575CDA" w14:textId="77777777">
            <w:pPr>
              <w:pStyle w:val="ListParagraph"/>
              <w:numPr>
                <w:ilvl w:val="1"/>
                <w:numId w:val="8"/>
              </w:numPr>
              <w:spacing w:after="0" w:line="240" w:lineRule="auto"/>
              <w:ind w:left="455" w:right="110" w:hanging="425"/>
              <w:jc w:val="both"/>
              <w:rPr>
                <w:rFonts w:ascii="Times New Roman" w:hAnsi="Times New Roman" w:cs="Times New Roman"/>
              </w:rPr>
            </w:pPr>
            <w:r w:rsidRPr="00ED1655">
              <w:rPr>
                <w:rFonts w:ascii="Times New Roman" w:hAnsi="Times New Roman" w:cs="Times New Roman"/>
              </w:rPr>
              <w:t>Saistošo noteikumu mērķis ir noteikt kārtību, kādā  Rēzeknes novada administratīvajā teritorijā tiek:  1) ierosināta dzīvojamai mājai, kura atrodas uz nomāta vai daļēji nomāta zemes gabala, funkcionāli nepieciešamā zemes gabala pārskatīšana, kuru ierosina likuma “Par valsts un pašvaldību dzīvojamo māju privatizāciju” 85 panta pirmajā daļā noteiktie subjekti; 2) informēti procesā iesaistīto nekustamo īpašumu īpašnieki, noskaidroti viņu viedokļi un pieņemts lēmums attiecībā uz funkcionāli nepieciešamā zemes g</w:t>
            </w:r>
            <w:r w:rsidRPr="00ED1655">
              <w:rPr>
                <w:rFonts w:ascii="Times New Roman" w:hAnsi="Times New Roman" w:cs="Times New Roman"/>
              </w:rPr>
              <w:t>abala pārskatīšanas uzsākšanu; 3) izvērtēti iesaistīto personu viedokļi, pārskatīta dzīvojamai mājai funkcionāli nepieciešamā zemes gabala platība un robežas, ņemot vērā arī situāciju attiecīgajā kvartālā, un pieņemts lēmums attiecībā uz dzīvojamai mājai funkcionāli nepieciešamā zemes gabala pārskatīšanu; 4) aprēķināta maksa par dzīvojamai mājai funkcionāli nepieciešamā zemes gabala pārskatīšanu (izdevumi par organizatoriskajām un tehniskajām darbībām, kuras veicamas, lai pārskatītu dzīvojamai mājai funkcio</w:t>
            </w:r>
            <w:r w:rsidRPr="00ED1655">
              <w:rPr>
                <w:rFonts w:ascii="Times New Roman" w:hAnsi="Times New Roman" w:cs="Times New Roman"/>
              </w:rPr>
              <w:t>nāli nepieciešamo zemesgabalu); 5) veikti maksājumi par dzīvojamai mājai funkcionāli nepieciešamā zemes gabala pārskatīšanu.</w:t>
            </w:r>
          </w:p>
          <w:p w:rsidR="00ED1655" w:rsidRPr="00ED1655" w:rsidP="00ED1655" w14:paraId="0492057E" w14:textId="77777777">
            <w:pPr>
              <w:pStyle w:val="ListParagraph"/>
              <w:numPr>
                <w:ilvl w:val="1"/>
                <w:numId w:val="8"/>
              </w:numPr>
              <w:spacing w:after="0" w:line="240" w:lineRule="auto"/>
              <w:ind w:left="455" w:right="110" w:hanging="425"/>
              <w:jc w:val="both"/>
              <w:rPr>
                <w:rFonts w:ascii="Times New Roman" w:hAnsi="Times New Roman" w:cs="Times New Roman"/>
              </w:rPr>
            </w:pPr>
            <w:r w:rsidRPr="00ED1655">
              <w:rPr>
                <w:rFonts w:ascii="Times New Roman" w:hAnsi="Times New Roman" w:cs="Times New Roman"/>
              </w:rPr>
              <w:t>Privatizācijas procesā daudzdzīvokļu dzīvojamai mājai noteiktais funkcionāli nepieciešamais zemes gabals ir noteikta platība, kas nepieciešama attiecīgās daudzdzīvokļu dzīvojamās mājas uzturēšanai, apsaimniekošanai un funkcionēšanai. Privatizējamai dzīvojamai mājai funkcionāli nepieciešamo zemes gabalu noteica saskaņā ar likuma  ‘Par valsts un pašvaldību dzīvojamo māju privatizāciju” (turpmāk – Privatizācijas likums) noteikumiem un attiecīgajiem Ministru kabineta noteikumiem, privatizējot daudzdzīvokļu dzīv</w:t>
            </w:r>
            <w:r w:rsidRPr="00ED1655">
              <w:rPr>
                <w:rFonts w:ascii="Times New Roman" w:hAnsi="Times New Roman" w:cs="Times New Roman"/>
              </w:rPr>
              <w:t>ojamās mājas. Funkcionāli nepieciešamie zemes gabali tika noteikti dzīvojamai mājai, neatkarīgi no zemes piederības. Funkcionāli nepieciešamais zemes gabals var ietilpt gan privātpersonu īpašumā esošā, gan valsts/pašvaldību īpašumā esoša zemē. Atbilstoši dzīvojamai mājai noteiktā funkcionālā zemes gabala lielumam zemes īpašnieks (valsts, pašvaldība, fiziska vai juridiska persona) ir tiesīgs to iznomāt privatizētā objekta (dzīvokļu) īpašniekiem proporcionāli privatizētā objekta (dzīvokļu) platībai. Ņemot vēr</w:t>
            </w:r>
            <w:r w:rsidRPr="00ED1655">
              <w:rPr>
                <w:rFonts w:ascii="Times New Roman" w:hAnsi="Times New Roman" w:cs="Times New Roman"/>
              </w:rPr>
              <w:t xml:space="preserve">ā, ka dzīvojamo māju privatizācijas process jau ilgst gandrīz 30 gadus, dzīvojamai mājai funkcionāli nepieciešamais zemes gabals var būt noteikts par lielu, vai neatbilst attiecīgās dzīvojamās mājas uzturēšanas un apsaimniekošanas vajadzībām, vai tas var neatbilst teritorijas plānošanas dokumentos </w:t>
            </w:r>
            <w:r w:rsidRPr="00ED1655">
              <w:rPr>
                <w:rFonts w:ascii="Times New Roman" w:hAnsi="Times New Roman" w:cs="Times New Roman"/>
              </w:rPr>
              <w:t>noteiktajiem teritorijas izmantošanas un apbūves nosacījumiem. Lai pārskatītu dzīvojamai mājai funkcionāli nepieciešamo zemes gabalu, Privatizācijas likuma 85.panta trešajā daļā dots deleģējums pašvaldībai izdot s</w:t>
            </w:r>
            <w:r w:rsidRPr="00ED1655">
              <w:rPr>
                <w:rFonts w:ascii="Times New Roman" w:hAnsi="Times New Roman" w:cs="Times New Roman"/>
              </w:rPr>
              <w:t xml:space="preserve">aistošos noteikumus par dzīvojamai mājai funkcionāli nepieciešamā zemes gabala pārskatīšanu. Pārskatot dzīvojamai mājai funkcionāli nepieciešamā zemes gabalu, tiek ņemtas vērā normatīvo aktu prasības attiecībā uz funkcionālajiem zemes gabaliem, pašvaldības teritorijas plānošanas dokumentos noteiktie teritorijas izmantošanas un apbūves nosacījumi, kā arī iespēju robežās samērotas zemes īpašnieka un attiecīgās dzīvojamās mājas privatizētā objekta (dzīvokļa īpašuma) īpašnieku likumiskās intereses un tiesības. </w:t>
            </w:r>
            <w:r w:rsidRPr="00ED1655">
              <w:rPr>
                <w:rFonts w:ascii="Times New Roman" w:hAnsi="Times New Roman" w:cs="Times New Roman"/>
              </w:rPr>
              <w:t>Saistošo noteikumu neesamība ierobežo personu tiesības uz Privatizācijas likumā noteiktajām tiesībām ierosināt dzīvojamai mājai funkcionāli nepieciešamo zemes gabalu pārskatīšanu.</w:t>
            </w:r>
          </w:p>
          <w:p w:rsidR="00ED1655" w:rsidRPr="00ED1655" w:rsidP="00ED1655" w14:paraId="70E974A2" w14:textId="77777777">
            <w:pPr>
              <w:pStyle w:val="NormalWeb"/>
              <w:spacing w:before="0" w:beforeAutospacing="0" w:after="0" w:afterAutospacing="0"/>
              <w:ind w:left="538" w:right="140" w:hanging="538"/>
              <w:jc w:val="both"/>
              <w:rPr>
                <w:sz w:val="22"/>
                <w:szCs w:val="22"/>
              </w:rPr>
            </w:pPr>
            <w:r w:rsidRPr="00ED1655">
              <w:rPr>
                <w:sz w:val="22"/>
                <w:szCs w:val="22"/>
              </w:rPr>
              <w:t>1.3. Pašvaldībā nav spēkā esošu saistošo noteikumu, kas reglamentē kārtību, kādā Rēzeknes novada administratīvajā teritorijā tiek ierosināta dzīvojamai mājai, kura atrodas uz nomāta vai daļēji nomāta zemes gabala, funkcionāli nepieciešamā zemes gabala pārskatīšana un ar to saistītie jautājumi. </w:t>
            </w:r>
          </w:p>
          <w:p w:rsidR="00ED1655" w:rsidRPr="00ED1655" w:rsidP="00ED1655" w14:paraId="164E7159" w14:textId="061C2452">
            <w:pPr>
              <w:pStyle w:val="NormalWeb"/>
              <w:spacing w:before="0" w:beforeAutospacing="0" w:after="0" w:afterAutospacing="0"/>
              <w:ind w:left="538" w:right="140" w:hanging="538"/>
              <w:jc w:val="both"/>
              <w:rPr>
                <w:sz w:val="22"/>
                <w:szCs w:val="22"/>
                <w:shd w:val="clear" w:color="auto" w:fill="FFFFFF"/>
              </w:rPr>
            </w:pPr>
            <w:r w:rsidRPr="00ED1655">
              <w:rPr>
                <w:sz w:val="22"/>
                <w:szCs w:val="22"/>
              </w:rPr>
              <w:t xml:space="preserve">1.4. </w:t>
            </w:r>
            <w:r w:rsidRPr="00ED1655">
              <w:rPr>
                <w:sz w:val="22"/>
                <w:szCs w:val="22"/>
                <w:shd w:val="clear" w:color="auto" w:fill="FFFFFF"/>
              </w:rPr>
              <w:t xml:space="preserve">Ņemot vērā iepriekšminēto normatīvo aktu regulējumu, citu iespējamo alternatīvu nav, lai noteiktu kārtību, </w:t>
            </w:r>
            <w:r w:rsidRPr="00ED1655">
              <w:rPr>
                <w:sz w:val="22"/>
                <w:szCs w:val="22"/>
              </w:rPr>
              <w:t>kādā Rēzeknes novada administratīvajā teritorijā tiek ierosināta dzīvojamai mājai, kura atrodas uz nomāta vai daļēji nomāta zemes gabala, funkcionāli nepieciešamā zemes gabala pārskatīšana un ar to saistītie jautājumi</w:t>
            </w:r>
            <w:r w:rsidRPr="00ED1655">
              <w:rPr>
                <w:sz w:val="22"/>
                <w:szCs w:val="22"/>
                <w:shd w:val="clear" w:color="auto" w:fill="FFFFFF"/>
              </w:rPr>
              <w:t xml:space="preserve"> tiesisko regulējumu.</w:t>
            </w:r>
          </w:p>
        </w:tc>
      </w:tr>
      <w:tr w14:paraId="164E715E" w14:textId="77777777" w:rsidTr="00381CA1">
        <w:tblPrEx>
          <w:tblW w:w="9634" w:type="dxa"/>
          <w:tblLook w:val="0000"/>
        </w:tblPrEx>
        <w:trPr>
          <w:trHeight w:val="726"/>
        </w:trPr>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5B" w14:textId="77777777">
            <w:pPr>
              <w:pStyle w:val="naiskr"/>
              <w:spacing w:before="120" w:after="120"/>
              <w:ind w:left="171" w:hanging="171"/>
              <w:rPr>
                <w:bCs/>
                <w:sz w:val="22"/>
                <w:szCs w:val="22"/>
              </w:rPr>
            </w:pPr>
            <w:r w:rsidRPr="004E2172">
              <w:rPr>
                <w:bCs/>
                <w:sz w:val="22"/>
                <w:szCs w:val="22"/>
              </w:rPr>
              <w:t>2. Fiskālā ietekme uz pašvaldības budžetu</w:t>
            </w:r>
          </w:p>
          <w:p w:rsidR="00ED1655" w:rsidRPr="004E2172" w:rsidP="00ED1655" w14:paraId="164E715C" w14:textId="77777777">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0C228049" w14:textId="77777777">
            <w:pPr>
              <w:pStyle w:val="NormalWeb"/>
              <w:spacing w:before="0" w:beforeAutospacing="0" w:after="0" w:afterAutospacing="0"/>
              <w:ind w:left="394" w:right="113" w:hanging="394"/>
              <w:jc w:val="both"/>
              <w:rPr>
                <w:color w:val="EE0000"/>
                <w:sz w:val="22"/>
                <w:szCs w:val="22"/>
                <w:lang w:eastAsia="en-US"/>
              </w:rPr>
            </w:pPr>
            <w:r w:rsidRPr="00ED1655">
              <w:rPr>
                <w:bCs/>
                <w:sz w:val="22"/>
                <w:szCs w:val="22"/>
              </w:rPr>
              <w:t xml:space="preserve">2.1.Saistošo noteikumu „Par dzīvojamai mājai funkcionāli nepieciešamā zemes gabala pārskatīšanu” </w:t>
            </w:r>
            <w:r w:rsidRPr="00ED1655">
              <w:rPr>
                <w:sz w:val="22"/>
                <w:szCs w:val="22"/>
                <w:lang w:eastAsia="en-US"/>
              </w:rPr>
              <w:t>īstenošanas fiskālā ietekme uz pašvaldības budžetu – netiek prognozēta būtiska finansiāla ietekme uz pašvaldības budžetu, jo pašvaldība apmaksās administratīvos izdevumus, kas tai radušies saistībā ar ierosinātāju iesniegumu izskatīšanu un lēmumu pieņemšanu, kā arī izdevumus par iesniedzēja informēšanu.</w:t>
            </w:r>
          </w:p>
          <w:p w:rsidR="00ED1655" w:rsidRPr="00ED1655" w:rsidP="00ED1655" w14:paraId="164E715D" w14:textId="22A02186">
            <w:pPr>
              <w:ind w:left="455" w:hanging="455"/>
              <w:jc w:val="both"/>
              <w:rPr>
                <w:sz w:val="22"/>
                <w:szCs w:val="22"/>
                <w:lang w:eastAsia="en-US"/>
              </w:rPr>
            </w:pPr>
            <w:r w:rsidRPr="00ED1655">
              <w:rPr>
                <w:sz w:val="22"/>
                <w:szCs w:val="22"/>
              </w:rPr>
              <w:t>2.2. Lai nodrošinātu saistošo noteikumu izpildi ir nepieciešams veidot jaunu institūciju - dzīvojamai mājai funkcionāli nepieciešamā zemes gabala pārskatīšanas komisiju, taču nav nepieciešams radīt jaunas darba vietas, līdz ar to nav nepieciešami papildus resursi.</w:t>
            </w:r>
          </w:p>
        </w:tc>
      </w:tr>
      <w:tr w14:paraId="164E7161" w14:textId="77777777" w:rsidTr="00381CA1">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5F" w14:textId="77777777">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7432E393" w14:textId="77777777">
            <w:pPr>
              <w:ind w:left="394" w:right="140" w:hanging="398"/>
              <w:jc w:val="both"/>
              <w:rPr>
                <w:sz w:val="22"/>
                <w:szCs w:val="22"/>
              </w:rPr>
            </w:pPr>
            <w:r w:rsidRPr="00ED1655">
              <w:rPr>
                <w:sz w:val="22"/>
                <w:szCs w:val="22"/>
              </w:rPr>
              <w:t>3.1.Sociālā ietekme - saistošo noteikumu „Par dzīvojamai mājai funkcionāli nepieciešamā zemes gabala pārskatīšanu” tieši neietekmē cilvēku dzīvesveidu, labsajūtu, sabiedrību kopumā.</w:t>
            </w:r>
          </w:p>
          <w:p w:rsidR="00ED1655" w:rsidRPr="00ED1655" w:rsidP="00ED1655" w14:paraId="5F516CB2" w14:textId="77777777">
            <w:pPr>
              <w:pStyle w:val="naisnod"/>
              <w:spacing w:before="0" w:after="0"/>
              <w:ind w:left="394" w:right="140" w:hanging="398"/>
              <w:jc w:val="both"/>
              <w:rPr>
                <w:b w:val="0"/>
                <w:bCs w:val="0"/>
                <w:sz w:val="22"/>
                <w:szCs w:val="22"/>
                <w:lang w:eastAsia="en-US"/>
              </w:rPr>
            </w:pPr>
            <w:r w:rsidRPr="00ED1655">
              <w:rPr>
                <w:b w:val="0"/>
                <w:bCs w:val="0"/>
                <w:sz w:val="22"/>
                <w:szCs w:val="22"/>
                <w:lang w:eastAsia="en-US"/>
              </w:rPr>
              <w:t>3.2.Ietekme uz vidi – ar saistošo noteikumu „</w:t>
            </w:r>
            <w:r w:rsidRPr="00ED1655">
              <w:rPr>
                <w:b w:val="0"/>
                <w:bCs w:val="0"/>
                <w:sz w:val="22"/>
                <w:szCs w:val="22"/>
              </w:rPr>
              <w:t>Par dzīvojamai mājai funkcionāli nepieciešamā zemes gabala pārskatīšanu</w:t>
            </w:r>
            <w:r w:rsidRPr="00ED1655">
              <w:rPr>
                <w:b w:val="0"/>
                <w:bCs w:val="0"/>
                <w:sz w:val="22"/>
                <w:szCs w:val="22"/>
                <w:lang w:eastAsia="en-US"/>
              </w:rPr>
              <w:t xml:space="preserve">” īstenošanu netiek izraisītas tiešas vai netiešas pārmaiņas vidē. </w:t>
            </w:r>
          </w:p>
          <w:p w:rsidR="00ED1655" w:rsidRPr="00ED1655" w:rsidP="00ED1655" w14:paraId="51C3D0E3" w14:textId="77777777">
            <w:pPr>
              <w:pStyle w:val="naisnod"/>
              <w:spacing w:before="0" w:after="0"/>
              <w:ind w:left="394" w:right="140" w:hanging="398"/>
              <w:jc w:val="both"/>
              <w:rPr>
                <w:b w:val="0"/>
                <w:bCs w:val="0"/>
                <w:sz w:val="22"/>
                <w:szCs w:val="22"/>
                <w:lang w:eastAsia="en-US"/>
              </w:rPr>
            </w:pPr>
            <w:r w:rsidRPr="00ED1655">
              <w:rPr>
                <w:b w:val="0"/>
                <w:bCs w:val="0"/>
                <w:sz w:val="22"/>
                <w:szCs w:val="22"/>
                <w:lang w:eastAsia="en-US"/>
              </w:rPr>
              <w:t>3.3.Ietekme uz iedzīvotāju veselību - saistošo noteikumu „</w:t>
            </w:r>
            <w:r w:rsidRPr="00ED1655">
              <w:rPr>
                <w:b w:val="0"/>
                <w:bCs w:val="0"/>
                <w:sz w:val="22"/>
                <w:szCs w:val="22"/>
              </w:rPr>
              <w:t>Par dzīvojamai mājai funkcionāli nepieciešamā zemes gabala pārskatīšanu</w:t>
            </w:r>
            <w:r w:rsidRPr="00ED1655">
              <w:rPr>
                <w:b w:val="0"/>
                <w:bCs w:val="0"/>
                <w:sz w:val="22"/>
                <w:szCs w:val="22"/>
                <w:lang w:eastAsia="en-US"/>
              </w:rPr>
              <w:t xml:space="preserve">” īstenošana tieši neietekmēs cilvēku veselību. </w:t>
            </w:r>
          </w:p>
          <w:p w:rsidR="00ED1655" w:rsidRPr="00ED1655" w:rsidP="00ED1655" w14:paraId="603187B4" w14:textId="77777777">
            <w:pPr>
              <w:pStyle w:val="naisnod"/>
              <w:spacing w:before="0" w:after="0"/>
              <w:ind w:left="394" w:right="140" w:hanging="398"/>
              <w:jc w:val="both"/>
              <w:rPr>
                <w:b w:val="0"/>
                <w:bCs w:val="0"/>
                <w:sz w:val="22"/>
                <w:szCs w:val="22"/>
                <w:lang w:eastAsia="en-US"/>
              </w:rPr>
            </w:pPr>
            <w:r w:rsidRPr="00ED1655">
              <w:rPr>
                <w:b w:val="0"/>
                <w:bCs w:val="0"/>
                <w:sz w:val="22"/>
                <w:szCs w:val="22"/>
                <w:lang w:eastAsia="en-US"/>
              </w:rPr>
              <w:t>3.4.Ietekme uz uzņēmējdarbības vidi pašvaldības teritorijā - uzņēmējdarbības vidi pašvaldības teritorijā saistošie noteikumi „</w:t>
            </w:r>
            <w:r w:rsidRPr="00ED1655">
              <w:rPr>
                <w:b w:val="0"/>
                <w:bCs w:val="0"/>
                <w:sz w:val="22"/>
                <w:szCs w:val="22"/>
              </w:rPr>
              <w:t>Par dzīvojamai mājai funkcionāli nepieciešamā zemes gabala pārskatīšanu</w:t>
            </w:r>
            <w:r w:rsidRPr="00ED1655">
              <w:rPr>
                <w:b w:val="0"/>
                <w:bCs w:val="0"/>
                <w:sz w:val="22"/>
                <w:szCs w:val="22"/>
                <w:lang w:eastAsia="en-US"/>
              </w:rPr>
              <w:t>” skars, radot labvēlīgu uzņēmējdarbības vidi.</w:t>
            </w:r>
          </w:p>
          <w:p w:rsidR="00ED1655" w:rsidRPr="00ED1655" w:rsidP="00ED1655" w14:paraId="164E7160" w14:textId="672FEC2A">
            <w:pPr>
              <w:pStyle w:val="naisnod"/>
              <w:spacing w:before="0" w:after="0"/>
              <w:ind w:left="313" w:hanging="317"/>
              <w:jc w:val="both"/>
              <w:rPr>
                <w:b w:val="0"/>
                <w:bCs w:val="0"/>
                <w:sz w:val="22"/>
                <w:szCs w:val="22"/>
                <w:lang w:eastAsia="en-US"/>
              </w:rPr>
            </w:pPr>
            <w:r w:rsidRPr="00ED1655">
              <w:rPr>
                <w:b w:val="0"/>
                <w:bCs w:val="0"/>
                <w:sz w:val="22"/>
                <w:szCs w:val="22"/>
                <w:lang w:eastAsia="en-US"/>
              </w:rPr>
              <w:t>3.5.Ietekme uz konkurenci - saistošie noteikumi „</w:t>
            </w:r>
            <w:r w:rsidRPr="00ED1655">
              <w:rPr>
                <w:b w:val="0"/>
                <w:bCs w:val="0"/>
                <w:sz w:val="22"/>
                <w:szCs w:val="22"/>
              </w:rPr>
              <w:t>Par dzīvojamai mājai funkcionāli nepieciešamā zemes gabala pārskatīšanu</w:t>
            </w:r>
            <w:r w:rsidRPr="00ED1655">
              <w:rPr>
                <w:b w:val="0"/>
                <w:bCs w:val="0"/>
                <w:sz w:val="22"/>
                <w:szCs w:val="22"/>
                <w:lang w:eastAsia="en-US"/>
              </w:rPr>
              <w:t>” īstenošanu varētu atstāt ietekmi uz konkurenci.</w:t>
            </w:r>
          </w:p>
        </w:tc>
      </w:tr>
      <w:tr w14:paraId="164E7165" w14:textId="77777777" w:rsidTr="00381CA1">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62" w14:textId="77777777">
            <w:pPr>
              <w:spacing w:before="120" w:after="120"/>
              <w:ind w:left="171" w:hanging="171"/>
              <w:rPr>
                <w:bCs/>
                <w:sz w:val="22"/>
                <w:szCs w:val="22"/>
              </w:rPr>
            </w:pPr>
            <w:r w:rsidRPr="004E2172">
              <w:rPr>
                <w:bCs/>
                <w:sz w:val="22"/>
                <w:szCs w:val="22"/>
              </w:rPr>
              <w:t>4. Ietekme uz administratīvajām procedūrām un to izmaksām</w:t>
            </w:r>
          </w:p>
          <w:p w:rsidR="00ED1655" w:rsidRPr="004E2172" w:rsidP="00ED1655" w14:paraId="164E7163" w14:textId="77777777">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3483F70D" w14:textId="77777777">
            <w:pPr>
              <w:ind w:left="394" w:right="140" w:hanging="394"/>
              <w:jc w:val="both"/>
              <w:rPr>
                <w:sz w:val="22"/>
                <w:szCs w:val="22"/>
              </w:rPr>
            </w:pPr>
            <w:r w:rsidRPr="00ED1655">
              <w:rPr>
                <w:sz w:val="22"/>
                <w:szCs w:val="22"/>
              </w:rPr>
              <w:t>4.1.Saistošo noteikumu „Par dzīvojamai mājai funkcionāli nepieciešamā zemes gabala pārskatīšanu” piemērošanas jautājumos var vērsties Rēzekne novada pašvaldības iestādē – Centrālās pārvaldes – Atbrīvošanas alejā 95A, Rēzeknē, Attīstības un plānošanas nodaļā un Nekustamā īpašuma pārvaldības dienestā, kā arī jebkurā no Rēzeknes novada pašvaldības iestādēm - Dricānu apvienības pārvaldē,  Kaunatas apvienības pārvaldē, Maltas apvienības pārvaldē, Nautrēnu apvienības pārvaldē, Viļānu apvienības pārvaldē un to ter</w:t>
            </w:r>
            <w:r w:rsidRPr="00ED1655">
              <w:rPr>
                <w:sz w:val="22"/>
                <w:szCs w:val="22"/>
              </w:rPr>
              <w:t>itoriālajās vienībās.</w:t>
            </w:r>
          </w:p>
          <w:p w:rsidR="00ED1655" w:rsidRPr="00ED1655" w:rsidP="00ED1655" w14:paraId="164E7164" w14:textId="401A2276">
            <w:pPr>
              <w:pStyle w:val="naisnod"/>
              <w:spacing w:before="0" w:after="0"/>
              <w:ind w:left="455" w:hanging="455"/>
              <w:jc w:val="both"/>
              <w:rPr>
                <w:b w:val="0"/>
                <w:bCs w:val="0"/>
                <w:sz w:val="22"/>
                <w:szCs w:val="22"/>
                <w:lang w:eastAsia="en-US"/>
              </w:rPr>
            </w:pPr>
            <w:r w:rsidRPr="00ED1655">
              <w:rPr>
                <w:b w:val="0"/>
                <w:bCs w:val="0"/>
                <w:sz w:val="22"/>
                <w:szCs w:val="22"/>
                <w:lang w:eastAsia="en-US"/>
              </w:rPr>
              <w:t xml:space="preserve">4.2. Administratīvo procedūru izmaksas </w:t>
            </w:r>
            <w:r>
              <w:rPr>
                <w:b w:val="0"/>
                <w:bCs w:val="0"/>
                <w:sz w:val="22"/>
                <w:szCs w:val="22"/>
                <w:lang w:eastAsia="en-US"/>
              </w:rPr>
              <w:t>ir</w:t>
            </w:r>
            <w:r w:rsidRPr="00ED1655">
              <w:rPr>
                <w:b w:val="0"/>
                <w:bCs w:val="0"/>
                <w:sz w:val="22"/>
                <w:szCs w:val="22"/>
                <w:lang w:eastAsia="en-US"/>
              </w:rPr>
              <w:t xml:space="preserve"> paredzētas</w:t>
            </w:r>
            <w:r>
              <w:rPr>
                <w:b w:val="0"/>
                <w:bCs w:val="0"/>
                <w:sz w:val="22"/>
                <w:szCs w:val="22"/>
                <w:lang w:eastAsia="en-US"/>
              </w:rPr>
              <w:t>. P</w:t>
            </w:r>
            <w:r w:rsidRPr="00ED1655">
              <w:rPr>
                <w:b w:val="0"/>
                <w:bCs w:val="0"/>
                <w:sz w:val="22"/>
                <w:szCs w:val="22"/>
                <w:lang w:eastAsia="en-US"/>
              </w:rPr>
              <w:t>ašvaldība se</w:t>
            </w:r>
            <w:r>
              <w:rPr>
                <w:b w:val="0"/>
                <w:bCs w:val="0"/>
                <w:sz w:val="22"/>
                <w:szCs w:val="22"/>
                <w:lang w:eastAsia="en-US"/>
              </w:rPr>
              <w:t>gs</w:t>
            </w:r>
            <w:r w:rsidRPr="00ED1655">
              <w:rPr>
                <w:b w:val="0"/>
                <w:bCs w:val="0"/>
                <w:sz w:val="22"/>
                <w:szCs w:val="22"/>
                <w:lang w:eastAsia="en-US"/>
              </w:rPr>
              <w:t xml:space="preserve"> administratīvos izdevumus, kas radušies sakarā ar iesniegumu izskatīšanu un domes lēmumu pieņemšanu, kā arī izdevumus par ierosinātāja informēšanu.</w:t>
            </w:r>
            <w:r>
              <w:rPr>
                <w:b w:val="0"/>
                <w:bCs w:val="0"/>
                <w:sz w:val="22"/>
                <w:szCs w:val="22"/>
                <w:lang w:eastAsia="en-US"/>
              </w:rPr>
              <w:t xml:space="preserve"> </w:t>
            </w:r>
            <w:r w:rsidRPr="00ED1655">
              <w:rPr>
                <w:b w:val="0"/>
                <w:bCs w:val="0"/>
                <w:sz w:val="22"/>
                <w:szCs w:val="22"/>
                <w:lang w:eastAsia="en-US"/>
              </w:rPr>
              <w:t>Citus izdevumus, kas r</w:t>
            </w:r>
            <w:r>
              <w:rPr>
                <w:b w:val="0"/>
                <w:bCs w:val="0"/>
                <w:sz w:val="22"/>
                <w:szCs w:val="22"/>
                <w:lang w:eastAsia="en-US"/>
              </w:rPr>
              <w:t>a</w:t>
            </w:r>
            <w:r w:rsidRPr="00ED1655">
              <w:rPr>
                <w:b w:val="0"/>
                <w:bCs w:val="0"/>
                <w:sz w:val="22"/>
                <w:szCs w:val="22"/>
                <w:lang w:eastAsia="en-US"/>
              </w:rPr>
              <w:t>d</w:t>
            </w:r>
            <w:r>
              <w:rPr>
                <w:b w:val="0"/>
                <w:bCs w:val="0"/>
                <w:sz w:val="22"/>
                <w:szCs w:val="22"/>
                <w:lang w:eastAsia="en-US"/>
              </w:rPr>
              <w:t>ī</w:t>
            </w:r>
            <w:r w:rsidRPr="00ED1655">
              <w:rPr>
                <w:b w:val="0"/>
                <w:bCs w:val="0"/>
                <w:sz w:val="22"/>
                <w:szCs w:val="22"/>
                <w:lang w:eastAsia="en-US"/>
              </w:rPr>
              <w:t>s</w:t>
            </w:r>
            <w:r>
              <w:rPr>
                <w:b w:val="0"/>
                <w:bCs w:val="0"/>
                <w:sz w:val="22"/>
                <w:szCs w:val="22"/>
                <w:lang w:eastAsia="en-US"/>
              </w:rPr>
              <w:t>ies</w:t>
            </w:r>
            <w:r w:rsidRPr="00ED1655">
              <w:rPr>
                <w:b w:val="0"/>
                <w:bCs w:val="0"/>
                <w:sz w:val="22"/>
                <w:szCs w:val="22"/>
                <w:lang w:eastAsia="en-US"/>
              </w:rPr>
              <w:t xml:space="preserve"> pašvaldībai gadījumos, kad komisijas rīcībā </w:t>
            </w:r>
            <w:r>
              <w:rPr>
                <w:b w:val="0"/>
                <w:bCs w:val="0"/>
                <w:sz w:val="22"/>
                <w:szCs w:val="22"/>
                <w:lang w:eastAsia="en-US"/>
              </w:rPr>
              <w:t>nebūs</w:t>
            </w:r>
            <w:r w:rsidRPr="00ED1655">
              <w:rPr>
                <w:b w:val="0"/>
                <w:bCs w:val="0"/>
                <w:sz w:val="22"/>
                <w:szCs w:val="22"/>
                <w:lang w:eastAsia="en-US"/>
              </w:rPr>
              <w:t xml:space="preserve"> situācijai atbilstošs detalizācijas plāns konkrētajam zemes gabalam vai</w:t>
            </w:r>
            <w:r>
              <w:rPr>
                <w:b w:val="0"/>
                <w:bCs w:val="0"/>
                <w:sz w:val="22"/>
                <w:szCs w:val="22"/>
                <w:lang w:eastAsia="en-US"/>
              </w:rPr>
              <w:t xml:space="preserve"> būs</w:t>
            </w:r>
            <w:r w:rsidRPr="00ED1655">
              <w:rPr>
                <w:b w:val="0"/>
                <w:bCs w:val="0"/>
                <w:sz w:val="22"/>
                <w:szCs w:val="22"/>
                <w:lang w:eastAsia="en-US"/>
              </w:rPr>
              <w:t xml:space="preserve"> nepieciešama papildus informācija no Valsts zemes dienesta Nekustamā īpašuma valsts kadastra informācijas sistēmas datiem, vai cita papildus informācija, vai nepieciešama topogr</w:t>
            </w:r>
            <w:r w:rsidRPr="00ED1655">
              <w:rPr>
                <w:b w:val="0"/>
                <w:bCs w:val="0"/>
                <w:sz w:val="22"/>
                <w:szCs w:val="22"/>
                <w:lang w:eastAsia="en-US"/>
              </w:rPr>
              <w:t>āfiskā uzmērīšana, se</w:t>
            </w:r>
            <w:r>
              <w:rPr>
                <w:b w:val="0"/>
                <w:bCs w:val="0"/>
                <w:sz w:val="22"/>
                <w:szCs w:val="22"/>
                <w:lang w:eastAsia="en-US"/>
              </w:rPr>
              <w:t>gs</w:t>
            </w:r>
            <w:r w:rsidRPr="00ED1655">
              <w:rPr>
                <w:b w:val="0"/>
                <w:bCs w:val="0"/>
                <w:sz w:val="22"/>
                <w:szCs w:val="22"/>
                <w:lang w:eastAsia="en-US"/>
              </w:rPr>
              <w:t xml:space="preserve"> ierosinātājs.</w:t>
            </w:r>
          </w:p>
        </w:tc>
      </w:tr>
      <w:tr w14:paraId="164E7168" w14:textId="77777777" w:rsidTr="00381CA1">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66" w14:textId="77777777">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13CDF078" w14:textId="77777777">
            <w:pPr>
              <w:ind w:left="394" w:right="140" w:hanging="394"/>
              <w:jc w:val="both"/>
              <w:rPr>
                <w:color w:val="EE0000"/>
                <w:sz w:val="22"/>
                <w:szCs w:val="22"/>
              </w:rPr>
            </w:pPr>
            <w:r w:rsidRPr="00ED1655">
              <w:rPr>
                <w:sz w:val="22"/>
                <w:szCs w:val="22"/>
              </w:rPr>
              <w:t>5.1.Saistošie noteikumi „Par dzīvojamai mājai funkcionāli nepieciešamā zemes gabala pārskatīšanu”</w:t>
            </w:r>
            <w:r w:rsidRPr="00ED1655">
              <w:rPr>
                <w:bCs/>
                <w:sz w:val="22"/>
                <w:szCs w:val="22"/>
              </w:rPr>
              <w:t xml:space="preserve"> tiek izstrādāti pamatojoties uz</w:t>
            </w:r>
            <w:r w:rsidRPr="00ED1655">
              <w:rPr>
                <w:sz w:val="22"/>
                <w:szCs w:val="22"/>
              </w:rPr>
              <w:t xml:space="preserve"> Privatizācijas likumā doto deleģējumu - izdot saistošos noteikumus par dzīvojamai mājai funkcionāli nepieciešamo zemes gabalu pārskatīšanu un to pārskatīšanas process attiecas uz pašvaldības autonomo funkciju nodrošināt pašvaldības dzīvojamo māju privatizācijas procesu, tai skaitā, nosakot funkcionāli nepieciešamos zemes gabalus.</w:t>
            </w:r>
          </w:p>
          <w:p w:rsidR="00ED1655" w:rsidRPr="00ED1655" w:rsidP="00ED1655" w14:paraId="164E7167" w14:textId="5E8EF47F">
            <w:pPr>
              <w:ind w:left="313" w:hanging="360"/>
              <w:jc w:val="both"/>
              <w:rPr>
                <w:b/>
                <w:bCs/>
                <w:sz w:val="22"/>
                <w:szCs w:val="22"/>
                <w:lang w:eastAsia="en-US"/>
              </w:rPr>
            </w:pPr>
            <w:r w:rsidRPr="00ED1655">
              <w:rPr>
                <w:sz w:val="22"/>
                <w:szCs w:val="22"/>
                <w:lang w:eastAsia="en-US"/>
              </w:rPr>
              <w:t>5.2.Papildu cilvēkresursu iesaiste saistošo noteikumu īstenošanā netiek paredzēta.</w:t>
            </w:r>
          </w:p>
        </w:tc>
      </w:tr>
      <w:tr w14:paraId="164E716B" w14:textId="77777777" w:rsidTr="00381CA1">
        <w:tblPrEx>
          <w:tblW w:w="9634" w:type="dxa"/>
          <w:tblLook w:val="0000"/>
        </w:tblPrEx>
        <w:trPr>
          <w:trHeight w:val="132"/>
        </w:trPr>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69" w14:textId="77777777">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2D46A23A" w14:textId="77777777">
            <w:pPr>
              <w:ind w:left="394" w:right="140" w:hanging="394"/>
              <w:jc w:val="both"/>
              <w:rPr>
                <w:sz w:val="22"/>
                <w:szCs w:val="22"/>
              </w:rPr>
            </w:pPr>
            <w:r w:rsidRPr="00ED1655">
              <w:rPr>
                <w:sz w:val="22"/>
                <w:szCs w:val="22"/>
              </w:rPr>
              <w:t xml:space="preserve">6.1.Saistošo noteikumu „Par dzīvojamai mājai funkcionāli nepieciešamā zemes gabala pārskatīšanu” izpildē iesaistītā institūcija ir pašvaldības iestādes - Centrālās pārvaldes – Attīstības un plānošanas nodaļa un Nekustamā īpašuma pārvaldības dienests, kā arī pašvaldības iestādes – apvienību pārvaldes.. </w:t>
            </w:r>
          </w:p>
          <w:p w:rsidR="00ED1655" w:rsidRPr="00ED1655" w:rsidP="00ED1655" w14:paraId="164E716A" w14:textId="09CA48BD">
            <w:pPr>
              <w:widowControl w:val="0"/>
              <w:ind w:left="313" w:right="102" w:hanging="313"/>
              <w:jc w:val="both"/>
              <w:textAlignment w:val="baseline"/>
              <w:rPr>
                <w:sz w:val="22"/>
                <w:szCs w:val="22"/>
              </w:rPr>
            </w:pPr>
            <w:r w:rsidRPr="00ED1655">
              <w:rPr>
                <w:sz w:val="22"/>
                <w:szCs w:val="22"/>
              </w:rPr>
              <w:t xml:space="preserve">6.2.Saistošo noteikumu </w:t>
            </w:r>
            <w:r w:rsidRPr="00ED1655">
              <w:rPr>
                <w:sz w:val="22"/>
                <w:szCs w:val="22"/>
                <w:lang w:eastAsia="en-US"/>
              </w:rPr>
              <w:t>„</w:t>
            </w:r>
            <w:r w:rsidRPr="00ED1655">
              <w:rPr>
                <w:sz w:val="22"/>
                <w:szCs w:val="22"/>
              </w:rPr>
              <w:t>Par dzīvojamai mājai funkcionāli nepieciešamā zemes gabala pārskatīšanu</w:t>
            </w:r>
            <w:r w:rsidRPr="00ED1655">
              <w:rPr>
                <w:sz w:val="22"/>
                <w:szCs w:val="22"/>
                <w:lang w:eastAsia="en-US"/>
              </w:rPr>
              <w:t>” i</w:t>
            </w:r>
            <w:r w:rsidRPr="00ED1655">
              <w:rPr>
                <w:sz w:val="22"/>
                <w:szCs w:val="22"/>
              </w:rPr>
              <w:t>zpildes nodrošināšanai papildu resursi nav nepieciešami.</w:t>
            </w:r>
          </w:p>
        </w:tc>
      </w:tr>
      <w:tr w14:paraId="164E716E" w14:textId="77777777" w:rsidTr="00381CA1">
        <w:tblPrEx>
          <w:tblW w:w="9634" w:type="dxa"/>
          <w:tblLook w:val="0000"/>
        </w:tblPrEx>
        <w:trPr>
          <w:trHeight w:val="558"/>
        </w:trPr>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6C" w14:textId="77777777">
            <w:pPr>
              <w:spacing w:before="120" w:after="120"/>
              <w:ind w:left="171" w:hanging="171"/>
              <w:rPr>
                <w:bCs/>
                <w:sz w:val="22"/>
                <w:szCs w:val="22"/>
              </w:rPr>
            </w:pPr>
            <w:r w:rsidRPr="004E2172">
              <w:rPr>
                <w:bCs/>
                <w:sz w:val="22"/>
                <w:szCs w:val="22"/>
              </w:rPr>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305540F2" w14:textId="77777777">
            <w:pPr>
              <w:ind w:left="394" w:right="140" w:hanging="394"/>
              <w:jc w:val="both"/>
              <w:rPr>
                <w:sz w:val="22"/>
                <w:szCs w:val="22"/>
              </w:rPr>
            </w:pPr>
            <w:r w:rsidRPr="00ED1655">
              <w:rPr>
                <w:bCs/>
                <w:sz w:val="22"/>
                <w:szCs w:val="22"/>
              </w:rPr>
              <w:t xml:space="preserve">7.1.Saistošie noteikumi </w:t>
            </w:r>
            <w:r w:rsidRPr="00ED1655">
              <w:rPr>
                <w:sz w:val="22"/>
                <w:szCs w:val="22"/>
              </w:rPr>
              <w:t xml:space="preserve">„Par dzīvojamai mājai funkcionāli nepieciešamā zemes gabala pārskatīšanu” </w:t>
            </w:r>
            <w:r w:rsidRPr="00ED1655">
              <w:rPr>
                <w:bCs/>
                <w:sz w:val="22"/>
                <w:szCs w:val="22"/>
              </w:rPr>
              <w:t xml:space="preserve">ir piemēroti iecerētā mērķa sasniegšanas nodrošināšanai </w:t>
            </w:r>
            <w:r w:rsidRPr="00ED1655">
              <w:rPr>
                <w:sz w:val="22"/>
                <w:szCs w:val="22"/>
              </w:rPr>
              <w:t>un paredz tikai to, kas ir vajadzīgs minētā mērķa sasniegšanai.</w:t>
            </w:r>
          </w:p>
          <w:p w:rsidR="00ED1655" w:rsidRPr="00ED1655" w:rsidP="00ED1655" w14:paraId="164E716D" w14:textId="51A945ED">
            <w:pPr>
              <w:pStyle w:val="naisnod"/>
              <w:spacing w:before="0" w:after="0"/>
              <w:ind w:left="313" w:hanging="313"/>
              <w:jc w:val="both"/>
              <w:rPr>
                <w:b w:val="0"/>
                <w:bCs w:val="0"/>
                <w:sz w:val="22"/>
                <w:szCs w:val="22"/>
              </w:rPr>
            </w:pPr>
            <w:r w:rsidRPr="00ED1655">
              <w:rPr>
                <w:b w:val="0"/>
                <w:bCs w:val="0"/>
                <w:sz w:val="22"/>
                <w:szCs w:val="22"/>
              </w:rPr>
              <w:t xml:space="preserve">7.2.Pašvaldības izraudzītais līdzeklis saistošo noteikumu </w:t>
            </w:r>
            <w:r w:rsidRPr="00ED1655">
              <w:rPr>
                <w:b w:val="0"/>
                <w:bCs w:val="0"/>
                <w:sz w:val="22"/>
                <w:szCs w:val="22"/>
                <w:lang w:eastAsia="en-US"/>
              </w:rPr>
              <w:t>„</w:t>
            </w:r>
            <w:r w:rsidRPr="00ED1655">
              <w:rPr>
                <w:b w:val="0"/>
                <w:bCs w:val="0"/>
                <w:sz w:val="22"/>
                <w:szCs w:val="22"/>
              </w:rPr>
              <w:t>Par dzīvojamai mājai funkcionāli nepieciešamā zemes gabala pārskatīšanu</w:t>
            </w:r>
            <w:r w:rsidRPr="00ED1655">
              <w:rPr>
                <w:b w:val="0"/>
                <w:bCs w:val="0"/>
                <w:sz w:val="22"/>
                <w:szCs w:val="22"/>
                <w:lang w:eastAsia="en-US"/>
              </w:rPr>
              <w:t>” izdošanai ir piemērots leģitīmā mērķa sasniegšanai, nav citu saudzējošāku līdzekļu, lai sasniegtu leģitīmo mērķi un pašvaldības  rīcība ir atbilstoša.</w:t>
            </w:r>
          </w:p>
        </w:tc>
      </w:tr>
      <w:tr w14:paraId="164E7171" w14:textId="77777777" w:rsidTr="00ED1655">
        <w:tblPrEx>
          <w:tblW w:w="9634" w:type="dxa"/>
          <w:tblLook w:val="0000"/>
        </w:tblPrEx>
        <w:trPr>
          <w:trHeight w:val="3430"/>
        </w:trPr>
        <w:tc>
          <w:tcPr>
            <w:tcW w:w="2972" w:type="dxa"/>
            <w:tcBorders>
              <w:top w:val="single" w:sz="4" w:space="0" w:color="auto"/>
              <w:left w:val="single" w:sz="4" w:space="0" w:color="auto"/>
              <w:bottom w:val="single" w:sz="4" w:space="0" w:color="auto"/>
              <w:right w:val="single" w:sz="4" w:space="0" w:color="auto"/>
            </w:tcBorders>
          </w:tcPr>
          <w:p w:rsidR="00ED1655" w:rsidRPr="004E2172" w:rsidP="00ED1655" w14:paraId="164E716F" w14:textId="77777777">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tcPr>
          <w:p w:rsidR="00ED1655" w:rsidRPr="00ED1655" w:rsidP="00ED1655" w14:paraId="65EC6FE9" w14:textId="77777777">
            <w:pPr>
              <w:ind w:left="394" w:right="140" w:hanging="394"/>
              <w:jc w:val="both"/>
              <w:rPr>
                <w:bCs/>
                <w:sz w:val="22"/>
                <w:szCs w:val="22"/>
              </w:rPr>
            </w:pPr>
            <w:r w:rsidRPr="00ED1655">
              <w:rPr>
                <w:bCs/>
                <w:sz w:val="22"/>
                <w:szCs w:val="22"/>
              </w:rPr>
              <w:t>8.1.</w:t>
            </w:r>
            <w:r w:rsidRPr="00ED1655">
              <w:rPr>
                <w:sz w:val="22"/>
                <w:szCs w:val="22"/>
              </w:rPr>
              <w:t>Saistošo noteikumu projektu izstrādājusi pašvaldības speciālistu darba grupa</w:t>
            </w:r>
            <w:r w:rsidRPr="00ED1655">
              <w:rPr>
                <w:bCs/>
                <w:sz w:val="22"/>
                <w:szCs w:val="22"/>
              </w:rPr>
              <w:t xml:space="preserve"> un atbilstoši Pašvaldību likuma 46.panta trešajai daļai saistošo noteikumu </w:t>
            </w:r>
            <w:r w:rsidRPr="00ED1655">
              <w:rPr>
                <w:sz w:val="22"/>
                <w:szCs w:val="22"/>
              </w:rPr>
              <w:t xml:space="preserve">„Par dzīvojamai mājai funkcionāli nepieciešamā zemes gabala pārskatīšanu” </w:t>
            </w:r>
            <w:r w:rsidRPr="00ED1655">
              <w:rPr>
                <w:bCs/>
                <w:sz w:val="22"/>
                <w:szCs w:val="22"/>
              </w:rPr>
              <w:t xml:space="preserve">projekts 2026.gada 22.aprīlī nodots sabiedrības viedokļa noskaidrošanai, publicējot Rēzeknes novada pašvaldības tīmekļa vietnē </w:t>
            </w:r>
            <w:hyperlink r:id="rId9" w:history="1">
              <w:r w:rsidRPr="00ED1655">
                <w:rPr>
                  <w:bCs/>
                  <w:color w:val="0000FF"/>
                  <w:sz w:val="22"/>
                  <w:szCs w:val="22"/>
                  <w:u w:val="single"/>
                </w:rPr>
                <w:t>www.rezeknesnovads.lv</w:t>
              </w:r>
            </w:hyperlink>
            <w:r w:rsidRPr="00ED1655">
              <w:rPr>
                <w:bCs/>
                <w:sz w:val="22"/>
                <w:szCs w:val="22"/>
              </w:rPr>
              <w:t xml:space="preserve">. Viedokļa izteikšanas termiņš noteikts divas nedēļas no publicēšanas dienas Sabiedrības viedokļa noskaidrošanai </w:t>
            </w:r>
            <w:r w:rsidRPr="00ED1655">
              <w:rPr>
                <w:sz w:val="22"/>
                <w:szCs w:val="22"/>
              </w:rPr>
              <w:t xml:space="preserve">„Par dzīvojamai mājai funkcionāli nepieciešamā zemes gabala pārskatīšanu” </w:t>
            </w:r>
            <w:r w:rsidRPr="00ED1655">
              <w:rPr>
                <w:bCs/>
                <w:sz w:val="22"/>
                <w:szCs w:val="22"/>
              </w:rPr>
              <w:t>projekts nosūtīts Rēzeknes novada pašvaldības pagastu  un Viļānu pilsētas konsultatīvajām padomēm.</w:t>
            </w:r>
          </w:p>
          <w:p w:rsidR="00ED1655" w:rsidRPr="00ED1655" w:rsidP="00ED1655" w14:paraId="164E7170" w14:textId="3E04D754">
            <w:pPr>
              <w:ind w:left="313" w:hanging="313"/>
              <w:contextualSpacing/>
              <w:jc w:val="both"/>
              <w:rPr>
                <w:bCs/>
                <w:sz w:val="22"/>
                <w:szCs w:val="22"/>
              </w:rPr>
            </w:pPr>
            <w:r w:rsidRPr="00ED1655">
              <w:rPr>
                <w:bCs/>
                <w:sz w:val="22"/>
                <w:szCs w:val="22"/>
              </w:rPr>
              <w:t>8.2.</w:t>
            </w:r>
            <w:r w:rsidRPr="00ED1655">
              <w:rPr>
                <w:sz w:val="22"/>
                <w:szCs w:val="22"/>
              </w:rPr>
              <w:t xml:space="preserve">Sabiedrības viedokļa noskaidrošanas </w:t>
            </w:r>
            <w:r w:rsidRPr="0072346D">
              <w:rPr>
                <w:sz w:val="22"/>
                <w:szCs w:val="22"/>
              </w:rPr>
              <w:t xml:space="preserve">termiņā līdz 2026.gada 5.maijam viedokļi par </w:t>
            </w:r>
            <w:r w:rsidRPr="0072346D">
              <w:rPr>
                <w:bCs/>
                <w:sz w:val="22"/>
                <w:szCs w:val="22"/>
              </w:rPr>
              <w:t xml:space="preserve">saistošo noteikumu projektu </w:t>
            </w:r>
            <w:r w:rsidRPr="0072346D" w:rsidR="0072346D">
              <w:rPr>
                <w:bCs/>
                <w:sz w:val="22"/>
                <w:szCs w:val="22"/>
              </w:rPr>
              <w:t>nav iesniegti.</w:t>
            </w:r>
          </w:p>
        </w:tc>
      </w:tr>
    </w:tbl>
    <w:p w:rsidR="008F4F19" w:rsidP="008F4F19" w14:paraId="164E7172" w14:textId="77777777">
      <w:pPr>
        <w:ind w:right="46"/>
      </w:pPr>
    </w:p>
    <w:p w:rsidR="008C58A3" w:rsidP="000E6E55" w14:paraId="3F0C81AF" w14:textId="77777777">
      <w:pPr>
        <w:ind w:left="-284" w:right="46"/>
      </w:pPr>
    </w:p>
    <w:p w:rsidR="008C58A3" w:rsidP="000E6E55" w14:paraId="3D660441" w14:textId="77777777">
      <w:pPr>
        <w:ind w:left="-284" w:right="46"/>
      </w:pPr>
    </w:p>
    <w:p w:rsidR="008C58A3" w:rsidP="000E6E55" w14:paraId="4CA80B62" w14:textId="77777777">
      <w:pPr>
        <w:ind w:left="-284" w:right="46"/>
      </w:pPr>
    </w:p>
    <w:p w:rsidR="008C58A3" w:rsidP="000E6E55" w14:paraId="01CE8E58" w14:textId="77777777">
      <w:pPr>
        <w:ind w:left="-284" w:right="46"/>
      </w:pPr>
    </w:p>
    <w:p w:rsidR="008C58A3" w:rsidP="000E6E55" w14:paraId="27A8172D" w14:textId="77777777">
      <w:pPr>
        <w:ind w:left="-284" w:right="46"/>
      </w:pPr>
    </w:p>
    <w:p w:rsidR="00981ABB" w:rsidP="000E6E55" w14:paraId="164E7173" w14:textId="4768C788">
      <w:pPr>
        <w:ind w:left="-284" w:right="46"/>
      </w:pPr>
      <w:r w:rsidRPr="000E6E55">
        <w:t>Domes priekšsēdētājs</w:t>
      </w:r>
      <w:r w:rsidR="00733B78">
        <w:tab/>
      </w:r>
      <w:r w:rsidR="00733B78">
        <w:tab/>
      </w:r>
      <w:r w:rsidR="00733B78">
        <w:tab/>
      </w:r>
      <w:r w:rsidR="00733B78">
        <w:tab/>
      </w:r>
      <w:r w:rsidR="00733B78">
        <w:tab/>
      </w:r>
      <w:r w:rsidR="00733B78">
        <w:tab/>
      </w:r>
      <w:r w:rsidR="00733B78">
        <w:tab/>
      </w:r>
      <w:r w:rsidR="00733B78">
        <w:tab/>
      </w:r>
      <w:r w:rsidRPr="000E6E55">
        <w:t xml:space="preserve"> Guntars Skudra</w:t>
      </w:r>
    </w:p>
    <w:sectPr w:rsidSect="001F7379">
      <w:headerReference w:type="even" r:id="rId10"/>
      <w:headerReference w:type="default" r:id="rId11"/>
      <w:footerReference w:type="even" r:id="rId12"/>
      <w:footerReference w:type="default" r:id="rId13"/>
      <w:headerReference w:type="first" r:id="rId14"/>
      <w:footerReference w:type="first" r:id="rId15"/>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64E71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164E717B"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164E717C" w14:textId="77777777"/>
  <w:p w:rsidR="00B570BA" w14:paraId="164E717D"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164E717F" w14:textId="77777777">
    <w:r>
      <w:t xml:space="preserve">          </w:t>
    </w:r>
    <w:r>
      <w:t>Šis dokuments ir parakstīts ar drošu elektronisko parakstu un satur laika zīmogu</w:t>
    </w:r>
  </w:p>
  <w:p w:rsidR="00096453" w14:paraId="164E7180" w14:textId="77777777">
    <w:r>
      <w:t xml:space="preserve">          Šis dokuments ir parakstīts ar drošu elektronisko parakstu un satur laika zīmogu</w:t>
    </w:r>
  </w:p>
  <w:p w:rsidR="00B570BA" w14:paraId="164E7181"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64E71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64E71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64E71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EFE22AD"/>
    <w:multiLevelType w:val="multilevel"/>
    <w:tmpl w:val="AFCEE72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265213">
    <w:abstractNumId w:val="1"/>
  </w:num>
  <w:num w:numId="2" w16cid:durableId="739598461">
    <w:abstractNumId w:val="5"/>
  </w:num>
  <w:num w:numId="3" w16cid:durableId="762603136">
    <w:abstractNumId w:val="3"/>
  </w:num>
  <w:num w:numId="4" w16cid:durableId="1291589112">
    <w:abstractNumId w:val="2"/>
  </w:num>
  <w:num w:numId="5" w16cid:durableId="1628243369">
    <w:abstractNumId w:val="6"/>
  </w:num>
  <w:num w:numId="6" w16cid:durableId="47148926">
    <w:abstractNumId w:val="0"/>
  </w:num>
  <w:num w:numId="7" w16cid:durableId="1364096742">
    <w:abstractNumId w:val="4"/>
  </w:num>
  <w:num w:numId="8" w16cid:durableId="1304264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85E07"/>
    <w:rsid w:val="00096453"/>
    <w:rsid w:val="000A058D"/>
    <w:rsid w:val="000A4A1A"/>
    <w:rsid w:val="000B6E47"/>
    <w:rsid w:val="000C3181"/>
    <w:rsid w:val="000C7375"/>
    <w:rsid w:val="000D20B2"/>
    <w:rsid w:val="000D74FA"/>
    <w:rsid w:val="000E6E55"/>
    <w:rsid w:val="000F7BC9"/>
    <w:rsid w:val="001330F1"/>
    <w:rsid w:val="00150E3D"/>
    <w:rsid w:val="00157278"/>
    <w:rsid w:val="00194253"/>
    <w:rsid w:val="001A44A2"/>
    <w:rsid w:val="001B772F"/>
    <w:rsid w:val="001F7379"/>
    <w:rsid w:val="0020695E"/>
    <w:rsid w:val="002112D2"/>
    <w:rsid w:val="00213B1F"/>
    <w:rsid w:val="00254829"/>
    <w:rsid w:val="00254897"/>
    <w:rsid w:val="002556A5"/>
    <w:rsid w:val="00286493"/>
    <w:rsid w:val="00293526"/>
    <w:rsid w:val="002B3FEA"/>
    <w:rsid w:val="002B6932"/>
    <w:rsid w:val="002D696A"/>
    <w:rsid w:val="002E694E"/>
    <w:rsid w:val="002E7B12"/>
    <w:rsid w:val="002F56D9"/>
    <w:rsid w:val="00310FC5"/>
    <w:rsid w:val="00330DE1"/>
    <w:rsid w:val="00340053"/>
    <w:rsid w:val="00343F8C"/>
    <w:rsid w:val="003751F1"/>
    <w:rsid w:val="00391678"/>
    <w:rsid w:val="003A1225"/>
    <w:rsid w:val="003D6012"/>
    <w:rsid w:val="003E0A54"/>
    <w:rsid w:val="003E3FBA"/>
    <w:rsid w:val="003F7FCB"/>
    <w:rsid w:val="00431B7E"/>
    <w:rsid w:val="00441C04"/>
    <w:rsid w:val="00446A03"/>
    <w:rsid w:val="00447097"/>
    <w:rsid w:val="00464415"/>
    <w:rsid w:val="00477534"/>
    <w:rsid w:val="004B5A0D"/>
    <w:rsid w:val="004C3D33"/>
    <w:rsid w:val="004D4B08"/>
    <w:rsid w:val="004D5A12"/>
    <w:rsid w:val="004D7B8D"/>
    <w:rsid w:val="004E2172"/>
    <w:rsid w:val="004E3525"/>
    <w:rsid w:val="004E5120"/>
    <w:rsid w:val="0050526B"/>
    <w:rsid w:val="005301E9"/>
    <w:rsid w:val="005505F0"/>
    <w:rsid w:val="00552DDA"/>
    <w:rsid w:val="00553B81"/>
    <w:rsid w:val="00554FAE"/>
    <w:rsid w:val="005D36FD"/>
    <w:rsid w:val="005D4DA5"/>
    <w:rsid w:val="00616DE7"/>
    <w:rsid w:val="00645B16"/>
    <w:rsid w:val="006B7D7B"/>
    <w:rsid w:val="006D4047"/>
    <w:rsid w:val="006F1A43"/>
    <w:rsid w:val="007000D5"/>
    <w:rsid w:val="0072346D"/>
    <w:rsid w:val="0073133C"/>
    <w:rsid w:val="00733B78"/>
    <w:rsid w:val="00770935"/>
    <w:rsid w:val="00771547"/>
    <w:rsid w:val="00777EC7"/>
    <w:rsid w:val="007841E8"/>
    <w:rsid w:val="007909AD"/>
    <w:rsid w:val="007A4354"/>
    <w:rsid w:val="007B715A"/>
    <w:rsid w:val="007E17F2"/>
    <w:rsid w:val="007E3110"/>
    <w:rsid w:val="007F77D9"/>
    <w:rsid w:val="00834C65"/>
    <w:rsid w:val="008B77E9"/>
    <w:rsid w:val="008C58A3"/>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3277D"/>
    <w:rsid w:val="00A42BD4"/>
    <w:rsid w:val="00A64040"/>
    <w:rsid w:val="00A85950"/>
    <w:rsid w:val="00A93564"/>
    <w:rsid w:val="00AD3246"/>
    <w:rsid w:val="00AE48D8"/>
    <w:rsid w:val="00AF10B3"/>
    <w:rsid w:val="00B07851"/>
    <w:rsid w:val="00B37F5B"/>
    <w:rsid w:val="00B5583A"/>
    <w:rsid w:val="00B570BA"/>
    <w:rsid w:val="00B6686A"/>
    <w:rsid w:val="00B77AA7"/>
    <w:rsid w:val="00B820C2"/>
    <w:rsid w:val="00B903C9"/>
    <w:rsid w:val="00BC5C66"/>
    <w:rsid w:val="00BD19BA"/>
    <w:rsid w:val="00BF729E"/>
    <w:rsid w:val="00C1151F"/>
    <w:rsid w:val="00C214FE"/>
    <w:rsid w:val="00C470D0"/>
    <w:rsid w:val="00C55B55"/>
    <w:rsid w:val="00C76331"/>
    <w:rsid w:val="00C76645"/>
    <w:rsid w:val="00C93467"/>
    <w:rsid w:val="00C97230"/>
    <w:rsid w:val="00CA2821"/>
    <w:rsid w:val="00CC0A3D"/>
    <w:rsid w:val="00D25B9E"/>
    <w:rsid w:val="00D322D1"/>
    <w:rsid w:val="00D66702"/>
    <w:rsid w:val="00D66A47"/>
    <w:rsid w:val="00D87BAB"/>
    <w:rsid w:val="00DB096F"/>
    <w:rsid w:val="00DC71E4"/>
    <w:rsid w:val="00DE7AFC"/>
    <w:rsid w:val="00E020E3"/>
    <w:rsid w:val="00E25581"/>
    <w:rsid w:val="00E547DD"/>
    <w:rsid w:val="00E71F37"/>
    <w:rsid w:val="00E72AE9"/>
    <w:rsid w:val="00E8481D"/>
    <w:rsid w:val="00E91601"/>
    <w:rsid w:val="00E92F62"/>
    <w:rsid w:val="00EA3A2E"/>
    <w:rsid w:val="00ED1655"/>
    <w:rsid w:val="00ED5028"/>
    <w:rsid w:val="00F112B3"/>
    <w:rsid w:val="00F42914"/>
    <w:rsid w:val="00F9486B"/>
    <w:rsid w:val="00FB0437"/>
    <w:rsid w:val="00FB47A2"/>
    <w:rsid w:val="00FC670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E714A"/>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 w:type="paragraph" w:styleId="NormalWeb">
    <w:name w:val="Normal (Web)"/>
    <w:basedOn w:val="Normal"/>
    <w:uiPriority w:val="99"/>
    <w:unhideWhenUsed/>
    <w:rsid w:val="00ED1655"/>
    <w:pPr>
      <w:spacing w:before="100" w:beforeAutospacing="1" w:after="100" w:afterAutospacing="1"/>
    </w:pPr>
  </w:style>
  <w:style w:type="character" w:styleId="PageNumber">
    <w:name w:val="page number"/>
    <w:basedOn w:val="DefaultParagraphFont"/>
    <w:semiHidden/>
    <w:rsid w:val="00ED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6509</Words>
  <Characters>3711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Natālija Zvīdriņa</cp:lastModifiedBy>
  <cp:revision>7</cp:revision>
  <cp:lastPrinted>2026-05-22T07:05:00Z</cp:lastPrinted>
  <dcterms:created xsi:type="dcterms:W3CDTF">2024-05-22T15:40:00Z</dcterms:created>
  <dcterms:modified xsi:type="dcterms:W3CDTF">2026-05-22T07:05:00Z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