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29500E" w:rsidRPr="00BB1E44" w:rsidP="0029500E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 xml:space="preserve">Daiga </w:t>
      </w:r>
      <w:r w:rsidRPr="00663309">
        <w:rPr>
          <w:b/>
          <w:bCs/>
          <w:sz w:val="24"/>
          <w:szCs w:val="24"/>
        </w:rPr>
        <w:t>Miščenko</w:t>
      </w:r>
    </w:p>
    <w:p w:rsidR="0029500E" w:rsidRPr="00BB1E44" w:rsidP="0029500E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</w:t>
      </w:r>
      <w:r w:rsidR="00F1569B">
        <w:rPr>
          <w:b/>
          <w:bCs/>
          <w:sz w:val="24"/>
          <w:szCs w:val="24"/>
        </w:rPr>
        <w:t>Pušas</w:t>
      </w:r>
      <w:r w:rsidR="006646DE">
        <w:rPr>
          <w:b/>
          <w:bCs/>
          <w:sz w:val="24"/>
          <w:szCs w:val="24"/>
        </w:rPr>
        <w:t xml:space="preserve"> pagasta </w:t>
      </w:r>
      <w:r w:rsidR="00F1569B">
        <w:rPr>
          <w:b/>
          <w:bCs/>
          <w:sz w:val="24"/>
          <w:szCs w:val="24"/>
        </w:rPr>
        <w:t>t</w:t>
      </w:r>
      <w:r w:rsidR="006263ED">
        <w:rPr>
          <w:b/>
          <w:bCs/>
          <w:sz w:val="24"/>
          <w:szCs w:val="24"/>
        </w:rPr>
        <w:t>autas</w:t>
      </w:r>
      <w:r w:rsidR="006646DE">
        <w:rPr>
          <w:b/>
          <w:bCs/>
          <w:sz w:val="24"/>
          <w:szCs w:val="24"/>
        </w:rPr>
        <w:t xml:space="preserve"> namā)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>
      <w:pPr>
        <w:pStyle w:val="BodyText"/>
        <w:rPr>
          <w:b/>
          <w:sz w:val="24"/>
          <w:szCs w:val="24"/>
        </w:rPr>
      </w:pPr>
    </w:p>
    <w:p w:rsidR="00E2281D" w:rsidRPr="00BB1E44" w:rsidP="00E2281D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812E36">
        <w:rPr>
          <w:w w:val="105"/>
          <w:sz w:val="24"/>
          <w:szCs w:val="24"/>
        </w:rPr>
        <w:t>Pušas</w:t>
      </w:r>
      <w:r w:rsidR="00A311AC">
        <w:rPr>
          <w:w w:val="105"/>
          <w:sz w:val="24"/>
          <w:szCs w:val="24"/>
        </w:rPr>
        <w:t xml:space="preserve"> pagasta </w:t>
      </w:r>
      <w:r w:rsidR="00812E36">
        <w:rPr>
          <w:w w:val="105"/>
          <w:sz w:val="24"/>
          <w:szCs w:val="24"/>
        </w:rPr>
        <w:t>t</w:t>
      </w:r>
      <w:r w:rsidR="003653AA">
        <w:rPr>
          <w:w w:val="105"/>
          <w:sz w:val="24"/>
          <w:szCs w:val="24"/>
        </w:rPr>
        <w:t>autas</w:t>
      </w:r>
      <w:r w:rsidR="00A311AC">
        <w:rPr>
          <w:w w:val="105"/>
          <w:sz w:val="24"/>
          <w:szCs w:val="24"/>
        </w:rPr>
        <w:t xml:space="preserve"> namā)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08031C">
        <w:rPr>
          <w:w w:val="105"/>
          <w:sz w:val="24"/>
          <w:szCs w:val="24"/>
        </w:rPr>
        <w:t>Pušas</w:t>
      </w:r>
      <w:r w:rsidR="00A311AC">
        <w:rPr>
          <w:w w:val="105"/>
          <w:sz w:val="24"/>
          <w:szCs w:val="24"/>
        </w:rPr>
        <w:t xml:space="preserve"> pagasta </w:t>
      </w:r>
      <w:r w:rsidR="0008031C">
        <w:rPr>
          <w:w w:val="105"/>
          <w:sz w:val="24"/>
          <w:szCs w:val="24"/>
        </w:rPr>
        <w:t>t</w:t>
      </w:r>
      <w:r w:rsidR="003653AA">
        <w:rPr>
          <w:w w:val="105"/>
          <w:sz w:val="24"/>
          <w:szCs w:val="24"/>
        </w:rPr>
        <w:t>autas</w:t>
      </w:r>
      <w:r w:rsidR="00A311AC">
        <w:rPr>
          <w:w w:val="105"/>
          <w:sz w:val="24"/>
          <w:szCs w:val="24"/>
        </w:rPr>
        <w:t xml:space="preserve"> namā)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FD01F8">
        <w:rPr>
          <w:b/>
          <w:w w:val="105"/>
          <w:sz w:val="24"/>
          <w:szCs w:val="24"/>
        </w:rPr>
        <w:t>01.jūnijs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08031C" w:rsidP="006646DE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08031C" w:rsidRPr="0008031C" w:rsidP="0008031C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08031C">
        <w:rPr>
          <w:b/>
          <w:bCs/>
          <w:w w:val="105"/>
          <w:sz w:val="24"/>
          <w:szCs w:val="24"/>
        </w:rPr>
        <w:t xml:space="preserve">Darba vietas adrese: </w:t>
      </w:r>
      <w:r w:rsidRPr="0008031C">
        <w:rPr>
          <w:sz w:val="23"/>
          <w:szCs w:val="23"/>
        </w:rPr>
        <w:t>Parka iela 1, Puša, Pušas pagasts, Rē</w:t>
      </w:r>
      <w:r w:rsidRPr="0008031C">
        <w:rPr>
          <w:sz w:val="23"/>
          <w:szCs w:val="23"/>
        </w:rPr>
        <w:t xml:space="preserve">zeknes novads, LV-4635; </w:t>
      </w:r>
    </w:p>
    <w:p w:rsidR="00FD01F8" w:rsidRPr="0008031C" w:rsidP="00D21C10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08031C">
        <w:rPr>
          <w:bCs/>
          <w:w w:val="105"/>
          <w:sz w:val="24"/>
          <w:szCs w:val="24"/>
        </w:rPr>
        <w:t>Kultūras pasākuma organizatora (</w:t>
      </w:r>
      <w:r w:rsidR="0008031C">
        <w:rPr>
          <w:bCs/>
          <w:w w:val="105"/>
          <w:sz w:val="24"/>
          <w:szCs w:val="24"/>
        </w:rPr>
        <w:t>Pušas</w:t>
      </w:r>
      <w:r w:rsidRPr="0008031C">
        <w:rPr>
          <w:bCs/>
          <w:w w:val="105"/>
          <w:sz w:val="24"/>
          <w:szCs w:val="24"/>
        </w:rPr>
        <w:t xml:space="preserve"> pagasta </w:t>
      </w:r>
      <w:r w:rsidR="0008031C">
        <w:rPr>
          <w:bCs/>
          <w:w w:val="105"/>
          <w:sz w:val="24"/>
          <w:szCs w:val="24"/>
        </w:rPr>
        <w:t>t</w:t>
      </w:r>
      <w:r w:rsidRPr="0008031C" w:rsidR="00F602E2">
        <w:rPr>
          <w:bCs/>
          <w:w w:val="105"/>
          <w:sz w:val="24"/>
          <w:szCs w:val="24"/>
        </w:rPr>
        <w:t>autas</w:t>
      </w:r>
      <w:r w:rsidRPr="0008031C">
        <w:rPr>
          <w:bCs/>
          <w:w w:val="105"/>
          <w:sz w:val="24"/>
          <w:szCs w:val="24"/>
        </w:rPr>
        <w:t xml:space="preserve"> namā) galvenie pienākumi: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lang w:eastAsia="ar-SA"/>
        </w:rPr>
      </w:pPr>
      <w:r w:rsidRPr="00FD01F8">
        <w:rPr>
          <w:sz w:val="24"/>
          <w:szCs w:val="24"/>
          <w:lang w:eastAsia="ar-SA"/>
        </w:rPr>
        <w:t>izstrādā ar kultūras jomu saistītus radošos projektus;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organizējot pasākumus, iespēju robežās sadarboties ar citām novada kultūras iestādēm un to mākslinieciskās pašdarbības kolektīviem</w:t>
      </w:r>
      <w:r w:rsidRPr="00FD01F8">
        <w:rPr>
          <w:sz w:val="24"/>
          <w:szCs w:val="24"/>
          <w:shd w:val="clear" w:color="auto" w:fill="FFFFFF"/>
          <w:lang w:eastAsia="ar-SA"/>
        </w:rPr>
        <w:t>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analizēt sabiedrības intereses un vajadzības kultūras jomā, izvērtēt prioritātes;</w:t>
      </w:r>
    </w:p>
    <w:p w:rsidR="00FD01F8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plāniem;</w:t>
      </w:r>
    </w:p>
    <w:p w:rsidR="00FD01F8" w:rsidRPr="00BF578D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</w:t>
      </w:r>
      <w:r w:rsidR="00BF578D">
        <w:rPr>
          <w:sz w:val="24"/>
          <w:szCs w:val="24"/>
          <w:lang w:eastAsia="ar-SA"/>
        </w:rPr>
        <w:t>;</w:t>
      </w:r>
    </w:p>
    <w:p w:rsidR="00BF578D" w:rsidRPr="00BF578D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lang w:eastAsia="ar-SA"/>
        </w:rPr>
        <w:t>popularizēt savu kultūras iestādi, apvienību un novadu valstī</w:t>
      </w:r>
      <w:r>
        <w:rPr>
          <w:sz w:val="24"/>
          <w:szCs w:val="24"/>
          <w:lang w:eastAsia="ar-SA"/>
        </w:rPr>
        <w:t>;</w:t>
      </w:r>
    </w:p>
    <w:p w:rsidR="00BF578D" w:rsidRPr="00FD01F8" w:rsidP="00FD01F8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shd w:val="clear" w:color="auto" w:fill="FFFFFF"/>
          <w:lang w:eastAsia="ar-SA"/>
        </w:rPr>
        <w:t>nodrošināt kultūras nama saimniecisko darbību – veikt lietošanā esošā inventāra, tērpu un citu materiālo vērtību uzskaiti, saglabāšanu, jaunu tērpu, saimniecisko materiālu un inventāra iegādi budžeta ietvaros</w:t>
      </w:r>
      <w:r w:rsidR="001F62AD">
        <w:rPr>
          <w:sz w:val="24"/>
          <w:szCs w:val="24"/>
          <w:shd w:val="clear" w:color="auto" w:fill="FFFFFF"/>
          <w:lang w:eastAsia="ar-SA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P="00B13EEA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:rsidR="00C20480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20480" w:rsidRPr="00C20480" w:rsidP="00C20480">
      <w:pPr>
        <w:tabs>
          <w:tab w:val="left" w:pos="535"/>
        </w:tabs>
        <w:spacing w:before="3"/>
        <w:ind w:left="568"/>
        <w:rPr>
          <w:sz w:val="24"/>
          <w:szCs w:val="24"/>
        </w:rPr>
      </w:pPr>
    </w:p>
    <w:p w:rsidR="00D46356" w:rsidRPr="00C15580" w:rsidP="00D46356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BF578D">
        <w:rPr>
          <w:b/>
          <w:w w:val="105"/>
          <w:sz w:val="24"/>
          <w:szCs w:val="24"/>
        </w:rPr>
        <w:t>01.jūnijam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</w:t>
      </w:r>
      <w:r w:rsidR="0056555B">
        <w:rPr>
          <w:b/>
          <w:w w:val="105"/>
          <w:sz w:val="24"/>
          <w:szCs w:val="24"/>
        </w:rPr>
        <w:t>Pušas</w:t>
      </w:r>
      <w:r>
        <w:rPr>
          <w:b/>
          <w:w w:val="105"/>
          <w:sz w:val="24"/>
          <w:szCs w:val="24"/>
        </w:rPr>
        <w:t xml:space="preserve"> pagasta </w:t>
      </w:r>
      <w:r w:rsidR="0056555B">
        <w:rPr>
          <w:b/>
          <w:w w:val="105"/>
          <w:sz w:val="24"/>
          <w:szCs w:val="24"/>
        </w:rPr>
        <w:t>t</w:t>
      </w:r>
      <w:r w:rsidR="00C82913">
        <w:rPr>
          <w:b/>
          <w:w w:val="105"/>
          <w:sz w:val="24"/>
          <w:szCs w:val="24"/>
        </w:rPr>
        <w:t>autas</w:t>
      </w:r>
      <w:r>
        <w:rPr>
          <w:b/>
          <w:w w:val="105"/>
          <w:sz w:val="24"/>
          <w:szCs w:val="24"/>
        </w:rPr>
        <w:t xml:space="preserve"> namā)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7B6BF4">
        <w:rPr>
          <w:spacing w:val="-13"/>
          <w:w w:val="105"/>
          <w:sz w:val="24"/>
          <w:szCs w:val="24"/>
        </w:rPr>
        <w:t xml:space="preserve">darba pieredzi </w:t>
      </w:r>
      <w:bookmarkStart w:id="1" w:name="_GoBack"/>
      <w:bookmarkEnd w:id="1"/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BF578D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kopijas.</w:t>
      </w:r>
    </w:p>
    <w:p w:rsidR="0029500E" w:rsidRPr="001C6D28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BF578D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</w:t>
      </w:r>
      <w:r w:rsidR="0056555B">
        <w:rPr>
          <w:w w:val="105"/>
          <w:sz w:val="24"/>
          <w:szCs w:val="24"/>
        </w:rPr>
        <w:t>Pušas</w:t>
      </w:r>
      <w:r w:rsidR="00D46356">
        <w:rPr>
          <w:w w:val="105"/>
          <w:sz w:val="24"/>
          <w:szCs w:val="24"/>
        </w:rPr>
        <w:t xml:space="preserve"> pagasta </w:t>
      </w:r>
      <w:r w:rsidR="0056555B">
        <w:rPr>
          <w:w w:val="105"/>
          <w:sz w:val="24"/>
          <w:szCs w:val="24"/>
        </w:rPr>
        <w:t>t</w:t>
      </w:r>
      <w:r w:rsidR="009D0003">
        <w:rPr>
          <w:w w:val="105"/>
          <w:sz w:val="24"/>
          <w:szCs w:val="24"/>
        </w:rPr>
        <w:t>autas</w:t>
      </w:r>
      <w:r w:rsidR="00D46356">
        <w:rPr>
          <w:w w:val="105"/>
          <w:sz w:val="24"/>
          <w:szCs w:val="24"/>
        </w:rPr>
        <w:t xml:space="preserve"> namā)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CE759B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47B7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A47B74">
        <w:rPr>
          <w:w w:val="105"/>
          <w:sz w:val="24"/>
          <w:szCs w:val="24"/>
        </w:rPr>
        <w:t>5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B954BD">
      <w:footerReference w:type="default" r:id="rId8"/>
      <w:footerReference w:type="first" r:id="rId9"/>
      <w:pgSz w:w="11906" w:h="16838"/>
      <w:pgMar w:top="709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405553"/>
      <w:docPartObj>
        <w:docPartGallery w:val="Page Numbers (Bottom of Page)"/>
        <w:docPartUnique/>
      </w:docPartObj>
    </w:sdtPr>
    <w:sdtContent>
      <w:p w:rsidR="007D5C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F4">
          <w:rPr>
            <w:noProof/>
          </w:rPr>
          <w:t>2</w:t>
        </w:r>
        <w:r>
          <w:fldChar w:fldCharType="end"/>
        </w:r>
      </w:p>
    </w:sdtContent>
  </w:sdt>
  <w:p w:rsidR="007D5C53">
    <w:pPr>
      <w:pStyle w:val="Footer"/>
    </w:pPr>
  </w:p>
  <w:p w:rsidR="00EF139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39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308E5149"/>
    <w:multiLevelType w:val="hybridMultilevel"/>
    <w:tmpl w:val="09E23B43"/>
    <w:lvl w:ilvl="0">
      <w:start w:val="1"/>
      <w:numFmt w:val="upperRoman"/>
      <w:lvlText w:val="%1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78674E"/>
    <w:multiLevelType w:val="hybridMultilevel"/>
    <w:tmpl w:val="DF38F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4"/>
    <w:rsid w:val="00031376"/>
    <w:rsid w:val="00067553"/>
    <w:rsid w:val="00072726"/>
    <w:rsid w:val="000749E8"/>
    <w:rsid w:val="0008031C"/>
    <w:rsid w:val="000A5B28"/>
    <w:rsid w:val="000B0C1D"/>
    <w:rsid w:val="000B150C"/>
    <w:rsid w:val="000C7D80"/>
    <w:rsid w:val="000D2A55"/>
    <w:rsid w:val="00105B5D"/>
    <w:rsid w:val="0015284E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1F62AD"/>
    <w:rsid w:val="00225CE6"/>
    <w:rsid w:val="00232D37"/>
    <w:rsid w:val="0023581B"/>
    <w:rsid w:val="00251C5C"/>
    <w:rsid w:val="002860AB"/>
    <w:rsid w:val="0029500E"/>
    <w:rsid w:val="002C7CA2"/>
    <w:rsid w:val="002D125F"/>
    <w:rsid w:val="002D40B0"/>
    <w:rsid w:val="002E01DF"/>
    <w:rsid w:val="0031584C"/>
    <w:rsid w:val="003653AA"/>
    <w:rsid w:val="003658E4"/>
    <w:rsid w:val="003D045C"/>
    <w:rsid w:val="003E512E"/>
    <w:rsid w:val="003E6ABD"/>
    <w:rsid w:val="003F57D6"/>
    <w:rsid w:val="0043546D"/>
    <w:rsid w:val="00454AC2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31EEE"/>
    <w:rsid w:val="0056555B"/>
    <w:rsid w:val="00596E3A"/>
    <w:rsid w:val="005A0909"/>
    <w:rsid w:val="005B3DAD"/>
    <w:rsid w:val="005B3E71"/>
    <w:rsid w:val="005C07B6"/>
    <w:rsid w:val="005F6E61"/>
    <w:rsid w:val="00606067"/>
    <w:rsid w:val="006263ED"/>
    <w:rsid w:val="00663309"/>
    <w:rsid w:val="006646DE"/>
    <w:rsid w:val="006F109C"/>
    <w:rsid w:val="006F3473"/>
    <w:rsid w:val="006F5192"/>
    <w:rsid w:val="00717DAD"/>
    <w:rsid w:val="0073352A"/>
    <w:rsid w:val="00744B92"/>
    <w:rsid w:val="00770B1A"/>
    <w:rsid w:val="007B6BF4"/>
    <w:rsid w:val="007C5798"/>
    <w:rsid w:val="007D5C53"/>
    <w:rsid w:val="007F5634"/>
    <w:rsid w:val="007F76FF"/>
    <w:rsid w:val="00807A60"/>
    <w:rsid w:val="00812E36"/>
    <w:rsid w:val="00814218"/>
    <w:rsid w:val="00821E4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D0003"/>
    <w:rsid w:val="009E4693"/>
    <w:rsid w:val="009E7A71"/>
    <w:rsid w:val="009F46CE"/>
    <w:rsid w:val="009F5573"/>
    <w:rsid w:val="00A01E24"/>
    <w:rsid w:val="00A16905"/>
    <w:rsid w:val="00A20D5A"/>
    <w:rsid w:val="00A20F0A"/>
    <w:rsid w:val="00A25766"/>
    <w:rsid w:val="00A311AC"/>
    <w:rsid w:val="00A45BA4"/>
    <w:rsid w:val="00A47B74"/>
    <w:rsid w:val="00A71801"/>
    <w:rsid w:val="00A82A07"/>
    <w:rsid w:val="00AC165E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BF578D"/>
    <w:rsid w:val="00C15580"/>
    <w:rsid w:val="00C20480"/>
    <w:rsid w:val="00C54681"/>
    <w:rsid w:val="00C67217"/>
    <w:rsid w:val="00C70149"/>
    <w:rsid w:val="00C74819"/>
    <w:rsid w:val="00C82913"/>
    <w:rsid w:val="00C85288"/>
    <w:rsid w:val="00CA6BAC"/>
    <w:rsid w:val="00CB47E7"/>
    <w:rsid w:val="00CD4CA0"/>
    <w:rsid w:val="00CE759B"/>
    <w:rsid w:val="00CF7ED9"/>
    <w:rsid w:val="00D14F5C"/>
    <w:rsid w:val="00D21C10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EF139D"/>
    <w:rsid w:val="00F00A53"/>
    <w:rsid w:val="00F05B0B"/>
    <w:rsid w:val="00F1298B"/>
    <w:rsid w:val="00F1569B"/>
    <w:rsid w:val="00F602E2"/>
    <w:rsid w:val="00F62EE9"/>
    <w:rsid w:val="00FA147C"/>
    <w:rsid w:val="00FA4F2F"/>
    <w:rsid w:val="00FA70ED"/>
    <w:rsid w:val="00FD01F8"/>
    <w:rsid w:val="00FD654D"/>
    <w:rsid w:val="00FE460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77C9D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500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5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080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7838-4D2E-402D-98E9-7EEF572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4848</Words>
  <Characters>2764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andro@inbox.lv</cp:lastModifiedBy>
  <cp:revision>13</cp:revision>
  <dcterms:created xsi:type="dcterms:W3CDTF">2026-05-18T07:28:00Z</dcterms:created>
  <dcterms:modified xsi:type="dcterms:W3CDTF">2026-05-18T08:37:00Z</dcterms:modified>
</cp:coreProperties>
</file>